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35C" w:rsidRDefault="0007035C" w:rsidP="0007035C">
      <w:pPr>
        <w:pBdr>
          <w:bottom w:val="single" w:sz="4" w:space="1" w:color="auto"/>
        </w:pBdr>
        <w:tabs>
          <w:tab w:val="left" w:pos="709"/>
          <w:tab w:val="left" w:pos="3342"/>
        </w:tabs>
        <w:spacing w:after="0" w:line="240" w:lineRule="auto"/>
        <w:jc w:val="both"/>
        <w:rPr>
          <w:rFonts w:ascii="Times New Roman" w:eastAsia="Times New Roman" w:hAnsi="Times New Roman" w:cs="Times New Roman"/>
          <w:bCs/>
          <w:noProof/>
          <w:sz w:val="18"/>
          <w:szCs w:val="18"/>
          <w:u w:val="single"/>
          <w:lang w:eastAsia="tr-TR"/>
        </w:rPr>
      </w:pPr>
      <w:r>
        <w:rPr>
          <w:rFonts w:ascii="Arial" w:hAnsi="Arial" w:cs="Arial"/>
          <w:color w:val="000000"/>
          <w:sz w:val="16"/>
          <w:szCs w:val="16"/>
        </w:rPr>
        <w:t>10</w:t>
      </w:r>
      <w:r>
        <w:rPr>
          <w:rFonts w:ascii="Arial" w:hAnsi="Arial" w:cs="Arial"/>
          <w:color w:val="000000"/>
          <w:sz w:val="16"/>
          <w:szCs w:val="16"/>
        </w:rPr>
        <w:t xml:space="preserve"> </w:t>
      </w:r>
      <w:r>
        <w:rPr>
          <w:rFonts w:ascii="Arial" w:hAnsi="Arial" w:cs="Arial"/>
          <w:color w:val="000000"/>
          <w:sz w:val="16"/>
          <w:szCs w:val="16"/>
        </w:rPr>
        <w:t>Temmuz</w:t>
      </w:r>
      <w:r>
        <w:rPr>
          <w:rFonts w:ascii="Arial" w:hAnsi="Arial" w:cs="Arial"/>
          <w:color w:val="000000"/>
          <w:sz w:val="16"/>
          <w:szCs w:val="16"/>
        </w:rPr>
        <w:t xml:space="preserve"> 2025 PERŞEMBE</w:t>
      </w:r>
      <w:r>
        <w:rPr>
          <w:rFonts w:ascii="ArialMT" w:hAnsi="ArialMT" w:cs="ArialMT"/>
          <w:color w:val="000000"/>
          <w:sz w:val="16"/>
          <w:szCs w:val="16"/>
        </w:rPr>
        <w:t xml:space="preserve">                                          </w:t>
      </w:r>
      <w:r>
        <w:rPr>
          <w:rFonts w:ascii="PalatinoLinotype-Bold" w:hAnsi="PalatinoLinotype-Bold" w:cs="PalatinoLinotype-Bold"/>
          <w:b/>
          <w:bCs/>
          <w:color w:val="B70000"/>
          <w:sz w:val="24"/>
          <w:szCs w:val="24"/>
        </w:rPr>
        <w:t xml:space="preserve">Resmî Gazete                                       </w:t>
      </w:r>
      <w:r>
        <w:rPr>
          <w:rFonts w:ascii="PalatinoLinotype-Bold" w:hAnsi="PalatinoLinotype-Bold" w:cs="PalatinoLinotype-Bold"/>
          <w:b/>
          <w:bCs/>
          <w:color w:val="B70000"/>
          <w:sz w:val="24"/>
          <w:szCs w:val="24"/>
        </w:rPr>
        <w:t xml:space="preserve">     </w:t>
      </w:r>
      <w:r>
        <w:rPr>
          <w:rFonts w:ascii="ArialMT" w:hAnsi="ArialMT" w:cs="ArialMT"/>
          <w:color w:val="000000"/>
          <w:sz w:val="16"/>
          <w:szCs w:val="16"/>
        </w:rPr>
        <w:t>Sayı :</w:t>
      </w:r>
      <w:r>
        <w:rPr>
          <w:rFonts w:ascii="Arial" w:hAnsi="Arial" w:cs="Arial"/>
          <w:color w:val="000000"/>
          <w:sz w:val="16"/>
          <w:szCs w:val="16"/>
        </w:rPr>
        <w:t>329</w:t>
      </w:r>
      <w:r>
        <w:rPr>
          <w:rFonts w:ascii="Arial" w:hAnsi="Arial" w:cs="Arial"/>
          <w:color w:val="000000"/>
          <w:sz w:val="16"/>
          <w:szCs w:val="16"/>
        </w:rPr>
        <w:t>52</w:t>
      </w:r>
      <w:r>
        <w:rPr>
          <w:rFonts w:ascii="ArialMT" w:hAnsi="ArialMT" w:cs="ArialMT"/>
          <w:color w:val="000000"/>
          <w:sz w:val="16"/>
          <w:szCs w:val="16"/>
        </w:rPr>
        <w:t xml:space="preserve"> </w:t>
      </w:r>
    </w:p>
    <w:p w:rsidR="0007035C" w:rsidRDefault="0007035C" w:rsidP="0007035C">
      <w:pPr>
        <w:tabs>
          <w:tab w:val="left" w:pos="709"/>
          <w:tab w:val="left" w:pos="3342"/>
        </w:tabs>
        <w:spacing w:after="0" w:line="240" w:lineRule="auto"/>
        <w:ind w:firstLine="709"/>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 xml:space="preserve">  </w:t>
      </w:r>
      <w:r>
        <w:rPr>
          <w:rFonts w:ascii="TimesNewRomanPS-BoldMT" w:hAnsi="TimesNewRomanPS-BoldMT" w:cs="TimesNewRomanPS-BoldMT"/>
          <w:b/>
          <w:bCs/>
          <w:sz w:val="24"/>
          <w:szCs w:val="24"/>
        </w:rPr>
        <w:t xml:space="preserve">  TEBLİĞ</w:t>
      </w:r>
    </w:p>
    <w:p w:rsidR="0007035C" w:rsidRDefault="0007035C" w:rsidP="001611E3">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rsidR="001611E3" w:rsidRPr="003D1E99" w:rsidRDefault="001611E3" w:rsidP="001611E3">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r w:rsidRPr="003D1E99">
        <w:rPr>
          <w:rFonts w:ascii="Times New Roman" w:eastAsia="Times New Roman" w:hAnsi="Times New Roman" w:cs="Times New Roman"/>
          <w:bCs/>
          <w:noProof/>
          <w:sz w:val="18"/>
          <w:szCs w:val="18"/>
          <w:u w:val="single"/>
          <w:lang w:eastAsia="tr-TR"/>
        </w:rPr>
        <w:t>Sosyal Güvenlik Kurumu Başkanlığından:</w:t>
      </w:r>
    </w:p>
    <w:p w:rsidR="001611E3" w:rsidRPr="003D1E99" w:rsidRDefault="001611E3" w:rsidP="001611E3">
      <w:pPr>
        <w:tabs>
          <w:tab w:val="left" w:pos="567"/>
          <w:tab w:val="left" w:pos="709"/>
          <w:tab w:val="left" w:pos="3342"/>
        </w:tabs>
        <w:spacing w:after="0" w:line="240" w:lineRule="auto"/>
        <w:ind w:firstLine="709"/>
        <w:jc w:val="both"/>
        <w:rPr>
          <w:rFonts w:ascii="Times New Roman" w:eastAsia="Times New Roman" w:hAnsi="Times New Roman" w:cs="Times New Roman"/>
          <w:bCs/>
          <w:noProof/>
          <w:sz w:val="18"/>
          <w:szCs w:val="18"/>
          <w:u w:val="single"/>
          <w:lang w:eastAsia="tr-TR"/>
        </w:rPr>
      </w:pPr>
    </w:p>
    <w:p w:rsidR="001611E3" w:rsidRPr="003D1E99" w:rsidRDefault="001611E3" w:rsidP="001611E3">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3D1E99">
        <w:rPr>
          <w:rFonts w:ascii="Times New Roman" w:eastAsia="Times New Roman" w:hAnsi="Times New Roman" w:cs="Times New Roman"/>
          <w:b/>
          <w:bCs/>
          <w:noProof/>
          <w:sz w:val="18"/>
          <w:szCs w:val="18"/>
          <w:lang w:eastAsia="tr-TR"/>
        </w:rPr>
        <w:t xml:space="preserve">                             SOSYAL GÜVENLİK KURUMU SAĞLIK UYGULAMA TEBLİĞİNDE </w:t>
      </w:r>
    </w:p>
    <w:p w:rsidR="001611E3" w:rsidRDefault="001611E3" w:rsidP="001611E3">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r w:rsidRPr="003D1E99">
        <w:rPr>
          <w:rFonts w:ascii="Times New Roman" w:eastAsia="Times New Roman" w:hAnsi="Times New Roman" w:cs="Times New Roman"/>
          <w:b/>
          <w:bCs/>
          <w:noProof/>
          <w:sz w:val="18"/>
          <w:szCs w:val="18"/>
          <w:lang w:eastAsia="tr-TR"/>
        </w:rPr>
        <w:t xml:space="preserve">                                               DEĞİŞİKLİK YAPILMASINA DAİR TEBLİĞ</w:t>
      </w:r>
    </w:p>
    <w:p w:rsidR="001611E3" w:rsidRDefault="001611E3" w:rsidP="001611E3">
      <w:pPr>
        <w:tabs>
          <w:tab w:val="left" w:pos="709"/>
          <w:tab w:val="left" w:pos="3342"/>
        </w:tabs>
        <w:spacing w:after="0" w:line="240" w:lineRule="auto"/>
        <w:ind w:firstLine="709"/>
        <w:jc w:val="both"/>
        <w:rPr>
          <w:rFonts w:ascii="Times New Roman" w:eastAsia="Times New Roman" w:hAnsi="Times New Roman" w:cs="Times New Roman"/>
          <w:b/>
          <w:bCs/>
          <w:noProof/>
          <w:sz w:val="18"/>
          <w:szCs w:val="18"/>
          <w:lang w:eastAsia="tr-TR"/>
        </w:rPr>
      </w:pP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D72005">
        <w:rPr>
          <w:rFonts w:ascii="Times New Roman" w:hAnsi="Times New Roman" w:cs="Times New Roman"/>
          <w:b/>
          <w:bCs/>
          <w:sz w:val="18"/>
          <w:szCs w:val="18"/>
        </w:rPr>
        <w:t xml:space="preserve">MADDE </w:t>
      </w:r>
      <w:r>
        <w:rPr>
          <w:rFonts w:ascii="Times New Roman" w:hAnsi="Times New Roman" w:cs="Times New Roman"/>
          <w:b/>
          <w:bCs/>
          <w:sz w:val="18"/>
          <w:szCs w:val="18"/>
        </w:rPr>
        <w:t xml:space="preserve">1- </w:t>
      </w:r>
      <w:r w:rsidRPr="00D72005">
        <w:rPr>
          <w:rFonts w:ascii="Times New Roman" w:hAnsi="Times New Roman" w:cs="Times New Roman"/>
          <w:bCs/>
          <w:sz w:val="18"/>
          <w:szCs w:val="18"/>
        </w:rPr>
        <w:t xml:space="preserve">24/3/2013 tarihli ve 28597 sayılı Resmî </w:t>
      </w:r>
      <w:proofErr w:type="spellStart"/>
      <w:r w:rsidRPr="00D72005">
        <w:rPr>
          <w:rFonts w:ascii="Times New Roman" w:hAnsi="Times New Roman" w:cs="Times New Roman"/>
          <w:bCs/>
          <w:sz w:val="18"/>
          <w:szCs w:val="18"/>
        </w:rPr>
        <w:t>Gazete’de</w:t>
      </w:r>
      <w:proofErr w:type="spellEnd"/>
      <w:r w:rsidRPr="00D72005">
        <w:rPr>
          <w:rFonts w:ascii="Times New Roman" w:hAnsi="Times New Roman" w:cs="Times New Roman"/>
          <w:bCs/>
          <w:sz w:val="18"/>
          <w:szCs w:val="18"/>
        </w:rPr>
        <w:t xml:space="preserve"> yayımlanan Sosyal Güvenlik Kurumu Sağlık Uygulama Tebliğinin</w:t>
      </w:r>
      <w:r w:rsidRPr="00F11A99">
        <w:rPr>
          <w:rFonts w:ascii="Times New Roman" w:hAnsi="Times New Roman" w:cs="Times New Roman"/>
          <w:sz w:val="18"/>
          <w:szCs w:val="18"/>
          <w:lang w:eastAsia="tr-TR"/>
        </w:rPr>
        <w:t xml:space="preserve"> </w:t>
      </w:r>
      <w:r w:rsidRPr="00D72005">
        <w:rPr>
          <w:rFonts w:ascii="Times New Roman" w:hAnsi="Times New Roman" w:cs="Times New Roman"/>
          <w:bCs/>
          <w:sz w:val="18"/>
          <w:szCs w:val="18"/>
        </w:rPr>
        <w:t xml:space="preserve">4.2.14.C </w:t>
      </w:r>
      <w:r>
        <w:rPr>
          <w:rFonts w:ascii="Times New Roman" w:hAnsi="Times New Roman" w:cs="Times New Roman"/>
          <w:bCs/>
          <w:sz w:val="18"/>
          <w:szCs w:val="18"/>
        </w:rPr>
        <w:t xml:space="preserve">numaralı </w:t>
      </w:r>
      <w:r w:rsidRPr="00D72005">
        <w:rPr>
          <w:rFonts w:ascii="Times New Roman" w:hAnsi="Times New Roman" w:cs="Times New Roman"/>
          <w:bCs/>
          <w:sz w:val="18"/>
          <w:szCs w:val="18"/>
        </w:rPr>
        <w:t>maddesin</w:t>
      </w:r>
      <w:r>
        <w:rPr>
          <w:rFonts w:ascii="Times New Roman" w:hAnsi="Times New Roman" w:cs="Times New Roman"/>
          <w:bCs/>
          <w:sz w:val="18"/>
          <w:szCs w:val="18"/>
        </w:rPr>
        <w:t>de aşağıdaki düzenlemeler yapılmıştır.</w:t>
      </w:r>
    </w:p>
    <w:p w:rsidR="001611E3" w:rsidRPr="004C4AC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4C4AC3">
        <w:rPr>
          <w:rFonts w:ascii="Times New Roman" w:hAnsi="Times New Roman" w:cs="Times New Roman"/>
          <w:bCs/>
          <w:sz w:val="18"/>
          <w:szCs w:val="18"/>
        </w:rPr>
        <w:t>a) Üçüncü fıkrasının (</w:t>
      </w:r>
      <w:proofErr w:type="spellStart"/>
      <w:r w:rsidRPr="004C4AC3">
        <w:rPr>
          <w:rFonts w:ascii="Times New Roman" w:hAnsi="Times New Roman" w:cs="Times New Roman"/>
          <w:bCs/>
          <w:sz w:val="18"/>
          <w:szCs w:val="18"/>
        </w:rPr>
        <w:t>ee</w:t>
      </w:r>
      <w:proofErr w:type="spellEnd"/>
      <w:r w:rsidRPr="004C4AC3">
        <w:rPr>
          <w:rFonts w:ascii="Times New Roman" w:hAnsi="Times New Roman" w:cs="Times New Roman"/>
          <w:bCs/>
          <w:sz w:val="18"/>
          <w:szCs w:val="18"/>
        </w:rPr>
        <w:t>) ve (</w:t>
      </w:r>
      <w:proofErr w:type="spellStart"/>
      <w:r w:rsidRPr="004C4AC3">
        <w:rPr>
          <w:rFonts w:ascii="Times New Roman" w:hAnsi="Times New Roman" w:cs="Times New Roman"/>
          <w:bCs/>
          <w:sz w:val="18"/>
          <w:szCs w:val="18"/>
        </w:rPr>
        <w:t>pp</w:t>
      </w:r>
      <w:proofErr w:type="spellEnd"/>
      <w:r w:rsidRPr="004C4AC3">
        <w:rPr>
          <w:rFonts w:ascii="Times New Roman" w:hAnsi="Times New Roman" w:cs="Times New Roman"/>
          <w:bCs/>
          <w:sz w:val="18"/>
          <w:szCs w:val="18"/>
        </w:rPr>
        <w:t>) bentleri yürürlükten kaldırılmıştır.</w:t>
      </w:r>
    </w:p>
    <w:p w:rsidR="001611E3" w:rsidRPr="004C4AC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4C4AC3">
        <w:rPr>
          <w:rFonts w:ascii="Times New Roman" w:hAnsi="Times New Roman" w:cs="Times New Roman"/>
          <w:bCs/>
          <w:sz w:val="18"/>
          <w:szCs w:val="18"/>
        </w:rPr>
        <w:t>b) Maddeye aşağıdaki fıkra eklenmiştir.</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4C4AC3">
        <w:rPr>
          <w:rFonts w:ascii="Times New Roman" w:hAnsi="Times New Roman" w:cs="Times New Roman"/>
          <w:bCs/>
          <w:sz w:val="18"/>
          <w:szCs w:val="18"/>
        </w:rPr>
        <w:t>“(5) Bu fıkrada belirtilen</w:t>
      </w:r>
      <w:r w:rsidRPr="00D72005">
        <w:rPr>
          <w:rFonts w:ascii="Times New Roman" w:hAnsi="Times New Roman" w:cs="Times New Roman"/>
          <w:bCs/>
          <w:sz w:val="18"/>
          <w:szCs w:val="18"/>
        </w:rPr>
        <w:t xml:space="preserve"> etkin maddeleri içeren ilaçlar </w:t>
      </w:r>
      <w:r w:rsidR="0086171F" w:rsidRPr="0086171F">
        <w:rPr>
          <w:rFonts w:ascii="Times New Roman" w:hAnsi="Times New Roman" w:cs="Times New Roman"/>
          <w:bCs/>
          <w:sz w:val="18"/>
          <w:szCs w:val="18"/>
        </w:rPr>
        <w:t>yalnızca</w:t>
      </w:r>
      <w:r w:rsidR="0086171F" w:rsidRPr="00D72005">
        <w:rPr>
          <w:rFonts w:ascii="Times New Roman" w:hAnsi="Times New Roman" w:cs="Times New Roman"/>
          <w:bCs/>
          <w:sz w:val="18"/>
          <w:szCs w:val="18"/>
        </w:rPr>
        <w:t xml:space="preserve"> </w:t>
      </w:r>
      <w:r w:rsidRPr="00D72005">
        <w:rPr>
          <w:rFonts w:ascii="Times New Roman" w:hAnsi="Times New Roman" w:cs="Times New Roman"/>
          <w:bCs/>
          <w:sz w:val="18"/>
          <w:szCs w:val="18"/>
        </w:rPr>
        <w:t xml:space="preserve">aşağıdaki </w:t>
      </w:r>
      <w:proofErr w:type="spellStart"/>
      <w:r w:rsidRPr="00D72005">
        <w:rPr>
          <w:rFonts w:ascii="Times New Roman" w:hAnsi="Times New Roman" w:cs="Times New Roman"/>
          <w:bCs/>
          <w:sz w:val="18"/>
          <w:szCs w:val="18"/>
        </w:rPr>
        <w:t>endikasyonlarda</w:t>
      </w:r>
      <w:proofErr w:type="spellEnd"/>
      <w:r w:rsidRPr="00D72005">
        <w:rPr>
          <w:rFonts w:ascii="Times New Roman" w:hAnsi="Times New Roman" w:cs="Times New Roman"/>
          <w:bCs/>
          <w:sz w:val="18"/>
          <w:szCs w:val="18"/>
        </w:rPr>
        <w:t xml:space="preserve"> belirlenen koşullarda yatarak tedavide hastanelerce temin edilerek kullanılması ve en fazla üçer ay süreli tıbbi onkoloji uzman hekiminin yer aldığı tedavi protokolünü de gösterir sağlık kurulu raporuna dayanılarak tıbbi onkoloji uzman hekimlerince reçete edilmesi halinde bedeli Kurumca karşılanır (Raporda başka bir uzmanlık dalı gereken durumlar aşağıda ayrıca belirtilecektir.). Sağlık kurulu raporlarında, aşağıdaki maddelerde belirtilen özel durumlar ile teşhise esas teşkil eden radyoloji, patoloji veya sitoloji raporunun merkezi, tarihi ve numarası veya teşhise esas teşkil eden bilgiler, evre veya risk grubu, varsa daha önce uygulanan kanser tedavi planı yer almalıdır. Tedavinin devamı için düzenlenecek sağlık kurulu raporlarında hastalıkta </w:t>
      </w:r>
      <w:proofErr w:type="spellStart"/>
      <w:r w:rsidRPr="00D72005">
        <w:rPr>
          <w:rFonts w:ascii="Times New Roman" w:hAnsi="Times New Roman" w:cs="Times New Roman"/>
          <w:bCs/>
          <w:sz w:val="18"/>
          <w:szCs w:val="18"/>
        </w:rPr>
        <w:t>progresyon</w:t>
      </w:r>
      <w:proofErr w:type="spellEnd"/>
      <w:r w:rsidRPr="00D72005">
        <w:rPr>
          <w:rFonts w:ascii="Times New Roman" w:hAnsi="Times New Roman" w:cs="Times New Roman"/>
          <w:bCs/>
          <w:sz w:val="18"/>
          <w:szCs w:val="18"/>
        </w:rPr>
        <w:t xml:space="preserve"> olmadığı belirtilmelidir. Bu fıkrada yer alan ilaçların dozu belirtilmemiş ise Sağlık Bakanlığınca onaylı kısa ürün bilgisinde yer alan dozlarda kullanılmalıdır. Sağlık Uygulama Tebliği değişikliği ile tedavi basamaklarında değişiklik yapılması halinde tedavinin başlandığı tarihteki Sağlık Uygulama Tebliğinde yer alan başlangıç kriterleri geçerlidir. </w:t>
      </w:r>
    </w:p>
    <w:p w:rsidR="001611E3" w:rsidRPr="00CA206D" w:rsidRDefault="001611E3" w:rsidP="001611E3">
      <w:pPr>
        <w:tabs>
          <w:tab w:val="left" w:pos="709"/>
          <w:tab w:val="left" w:pos="3342"/>
        </w:tabs>
        <w:spacing w:after="0" w:line="240" w:lineRule="auto"/>
        <w:ind w:firstLine="709"/>
        <w:jc w:val="both"/>
        <w:rPr>
          <w:rFonts w:ascii="Times New Roman" w:hAnsi="Times New Roman" w:cs="Times New Roman"/>
          <w:b/>
          <w:bCs/>
          <w:sz w:val="18"/>
          <w:szCs w:val="18"/>
        </w:rPr>
      </w:pPr>
      <w:r w:rsidRPr="00CA206D">
        <w:rPr>
          <w:rFonts w:ascii="Times New Roman" w:hAnsi="Times New Roman" w:cs="Times New Roman"/>
          <w:b/>
          <w:bCs/>
          <w:sz w:val="18"/>
          <w:szCs w:val="18"/>
        </w:rPr>
        <w:t xml:space="preserve">a) </w:t>
      </w:r>
      <w:proofErr w:type="spellStart"/>
      <w:r w:rsidRPr="00CA206D">
        <w:rPr>
          <w:rFonts w:ascii="Times New Roman" w:hAnsi="Times New Roman" w:cs="Times New Roman"/>
          <w:b/>
          <w:bCs/>
          <w:sz w:val="18"/>
          <w:szCs w:val="18"/>
        </w:rPr>
        <w:t>Nivolumab</w:t>
      </w:r>
      <w:proofErr w:type="spellEnd"/>
      <w:r w:rsidRPr="00CA206D">
        <w:rPr>
          <w:rFonts w:ascii="Times New Roman" w:hAnsi="Times New Roman" w:cs="Times New Roman"/>
          <w:b/>
          <w:bCs/>
          <w:sz w:val="18"/>
          <w:szCs w:val="18"/>
        </w:rPr>
        <w:t xml:space="preserve"> ve/veya </w:t>
      </w:r>
      <w:proofErr w:type="spellStart"/>
      <w:r w:rsidRPr="00CA206D">
        <w:rPr>
          <w:rFonts w:ascii="Times New Roman" w:hAnsi="Times New Roman" w:cs="Times New Roman"/>
          <w:b/>
          <w:bCs/>
          <w:sz w:val="18"/>
          <w:szCs w:val="18"/>
        </w:rPr>
        <w:t>ipilimumab</w:t>
      </w:r>
      <w:proofErr w:type="spellEnd"/>
      <w:r w:rsidRPr="00CA206D">
        <w:rPr>
          <w:rFonts w:ascii="Times New Roman" w:hAnsi="Times New Roman" w:cs="Times New Roman"/>
          <w:b/>
          <w:bCs/>
          <w:sz w:val="18"/>
          <w:szCs w:val="18"/>
        </w:rPr>
        <w:t>;</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1)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ECOG performans skoru 0-1 olan, daha önce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almamış </w:t>
      </w:r>
      <w:proofErr w:type="spellStart"/>
      <w:r w:rsidRPr="006A55C8">
        <w:rPr>
          <w:rFonts w:ascii="Times New Roman" w:hAnsi="Times New Roman" w:cs="Times New Roman"/>
          <w:bCs/>
          <w:sz w:val="18"/>
          <w:szCs w:val="18"/>
        </w:rPr>
        <w:t>rezeke</w:t>
      </w:r>
      <w:proofErr w:type="spellEnd"/>
      <w:r w:rsidRPr="006A55C8">
        <w:rPr>
          <w:rFonts w:ascii="Times New Roman" w:hAnsi="Times New Roman" w:cs="Times New Roman"/>
          <w:bCs/>
          <w:sz w:val="18"/>
          <w:szCs w:val="18"/>
        </w:rPr>
        <w:t xml:space="preserve"> edilemeyen lokal ileri evre veya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malign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melanomu</w:t>
      </w:r>
      <w:proofErr w:type="spellEnd"/>
      <w:r w:rsidRPr="006A55C8">
        <w:rPr>
          <w:rFonts w:ascii="Times New Roman" w:hAnsi="Times New Roman" w:cs="Times New Roman"/>
          <w:bCs/>
          <w:sz w:val="18"/>
          <w:szCs w:val="18"/>
        </w:rPr>
        <w:t xml:space="preserve"> olan yetişkin hastaların birinci basamak tedavisinde </w:t>
      </w:r>
      <w:proofErr w:type="spellStart"/>
      <w:r w:rsidRPr="006A55C8">
        <w:rPr>
          <w:rFonts w:ascii="Times New Roman" w:hAnsi="Times New Roman" w:cs="Times New Roman"/>
          <w:bCs/>
          <w:sz w:val="18"/>
          <w:szCs w:val="18"/>
        </w:rPr>
        <w:t>progresyona</w:t>
      </w:r>
      <w:proofErr w:type="spellEnd"/>
      <w:r w:rsidRPr="006A55C8">
        <w:rPr>
          <w:rFonts w:ascii="Times New Roman" w:hAnsi="Times New Roman" w:cs="Times New Roman"/>
          <w:bCs/>
          <w:sz w:val="18"/>
          <w:szCs w:val="18"/>
        </w:rPr>
        <w:t xml:space="preserve"> kadar tek başına kullanılması halinde bedelleri Kurumca karşılanır.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2)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kombinasyonu; ECOG performans skoru 0-1 olan, </w:t>
      </w:r>
      <w:proofErr w:type="spellStart"/>
      <w:r w:rsidRPr="006A55C8">
        <w:rPr>
          <w:rFonts w:ascii="Times New Roman" w:hAnsi="Times New Roman" w:cs="Times New Roman"/>
          <w:bCs/>
          <w:sz w:val="18"/>
          <w:szCs w:val="18"/>
        </w:rPr>
        <w:t>rezeke</w:t>
      </w:r>
      <w:proofErr w:type="spellEnd"/>
      <w:r w:rsidRPr="006A55C8">
        <w:rPr>
          <w:rFonts w:ascii="Times New Roman" w:hAnsi="Times New Roman" w:cs="Times New Roman"/>
          <w:bCs/>
          <w:sz w:val="18"/>
          <w:szCs w:val="18"/>
        </w:rPr>
        <w:t xml:space="preserve"> edilemeyen lokal ileri evre veya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malign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melanomu</w:t>
      </w:r>
      <w:proofErr w:type="spellEnd"/>
      <w:r w:rsidRPr="006A55C8">
        <w:rPr>
          <w:rFonts w:ascii="Times New Roman" w:hAnsi="Times New Roman" w:cs="Times New Roman"/>
          <w:bCs/>
          <w:sz w:val="18"/>
          <w:szCs w:val="18"/>
        </w:rPr>
        <w:t xml:space="preserve"> olan yetişkin hastaların birinci basamak tedavisinde </w:t>
      </w:r>
      <w:proofErr w:type="spellStart"/>
      <w:r w:rsidRPr="006A55C8">
        <w:rPr>
          <w:rFonts w:ascii="Times New Roman" w:hAnsi="Times New Roman" w:cs="Times New Roman"/>
          <w:bCs/>
          <w:sz w:val="18"/>
          <w:szCs w:val="18"/>
        </w:rPr>
        <w:t>progresyona</w:t>
      </w:r>
      <w:proofErr w:type="spellEnd"/>
      <w:r w:rsidRPr="006A55C8">
        <w:rPr>
          <w:rFonts w:ascii="Times New Roman" w:hAnsi="Times New Roman" w:cs="Times New Roman"/>
          <w:bCs/>
          <w:sz w:val="18"/>
          <w:szCs w:val="18"/>
        </w:rPr>
        <w:t xml:space="preserve"> kadar kullanılması halinde bedelleri Kurumca karşılanır.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için en fazla 4 doz tedavi bedeli karşılanır.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ile kombine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3)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daha önce en az bir seri sistemik tedavi kullanmış ve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göstermiş </w:t>
      </w:r>
      <w:proofErr w:type="spellStart"/>
      <w:r w:rsidRPr="006A55C8">
        <w:rPr>
          <w:rFonts w:ascii="Times New Roman" w:hAnsi="Times New Roman" w:cs="Times New Roman"/>
          <w:bCs/>
          <w:sz w:val="18"/>
          <w:szCs w:val="18"/>
        </w:rPr>
        <w:t>rezeke</w:t>
      </w:r>
      <w:proofErr w:type="spellEnd"/>
      <w:r w:rsidRPr="006A55C8">
        <w:rPr>
          <w:rFonts w:ascii="Times New Roman" w:hAnsi="Times New Roman" w:cs="Times New Roman"/>
          <w:bCs/>
          <w:sz w:val="18"/>
          <w:szCs w:val="18"/>
        </w:rPr>
        <w:t xml:space="preserve"> edilemeyen </w:t>
      </w:r>
      <w:proofErr w:type="spellStart"/>
      <w:r w:rsidRPr="006A55C8">
        <w:rPr>
          <w:rFonts w:ascii="Times New Roman" w:hAnsi="Times New Roman" w:cs="Times New Roman"/>
          <w:bCs/>
          <w:sz w:val="18"/>
          <w:szCs w:val="18"/>
        </w:rPr>
        <w:t>relaps</w:t>
      </w:r>
      <w:proofErr w:type="spellEnd"/>
      <w:r w:rsidRPr="006A55C8">
        <w:rPr>
          <w:rFonts w:ascii="Times New Roman" w:hAnsi="Times New Roman" w:cs="Times New Roman"/>
          <w:bCs/>
          <w:sz w:val="18"/>
          <w:szCs w:val="18"/>
        </w:rPr>
        <w:t xml:space="preserve"> veya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erişkin </w:t>
      </w:r>
      <w:proofErr w:type="spellStart"/>
      <w:r w:rsidRPr="006A55C8">
        <w:rPr>
          <w:rFonts w:ascii="Times New Roman" w:hAnsi="Times New Roman" w:cs="Times New Roman"/>
          <w:bCs/>
          <w:sz w:val="18"/>
          <w:szCs w:val="18"/>
        </w:rPr>
        <w:t>malign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melanom</w:t>
      </w:r>
      <w:proofErr w:type="spellEnd"/>
      <w:r w:rsidRPr="006A55C8">
        <w:rPr>
          <w:rFonts w:ascii="Times New Roman" w:hAnsi="Times New Roman" w:cs="Times New Roman"/>
          <w:bCs/>
          <w:sz w:val="18"/>
          <w:szCs w:val="18"/>
        </w:rPr>
        <w:t xml:space="preserve"> hastalarının tedavisinde en fazla 4 doz (1 doz = 3 haftada bir uygulanan 3mg/kg dozunda uygulanan tedavi) kullanılması halinde bedelleri Kurumca karşılanır.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dabrafenib</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vemurafenib</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kombine olarak kullanılamaz.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4)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ECOG performans skoru 0-1 olan, tam rezeksiyon uygulanmış (evre III/IV) ve lenf düğümü tutulumu olan </w:t>
      </w:r>
      <w:proofErr w:type="spellStart"/>
      <w:r w:rsidRPr="006A55C8">
        <w:rPr>
          <w:rFonts w:ascii="Times New Roman" w:hAnsi="Times New Roman" w:cs="Times New Roman"/>
          <w:bCs/>
          <w:sz w:val="18"/>
          <w:szCs w:val="18"/>
        </w:rPr>
        <w:t>malign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melanom</w:t>
      </w:r>
      <w:proofErr w:type="spellEnd"/>
      <w:r w:rsidRPr="006A55C8">
        <w:rPr>
          <w:rFonts w:ascii="Times New Roman" w:hAnsi="Times New Roman" w:cs="Times New Roman"/>
          <w:bCs/>
          <w:sz w:val="18"/>
          <w:szCs w:val="18"/>
        </w:rPr>
        <w:t xml:space="preserve"> tanılı yetişkinlerde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tedavide en fazla 12 ay süreyle kullanılması halinde bedelleri Kurumca karşılanır.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ile tedavi edilmiş hastalarda, hastalık </w:t>
      </w:r>
      <w:proofErr w:type="spellStart"/>
      <w:r w:rsidRPr="006A55C8">
        <w:rPr>
          <w:rFonts w:ascii="Times New Roman" w:hAnsi="Times New Roman" w:cs="Times New Roman"/>
          <w:bCs/>
          <w:sz w:val="18"/>
          <w:szCs w:val="18"/>
        </w:rPr>
        <w:t>progresyonu</w:t>
      </w:r>
      <w:proofErr w:type="spellEnd"/>
      <w:r w:rsidRPr="006A55C8">
        <w:rPr>
          <w:rFonts w:ascii="Times New Roman" w:hAnsi="Times New Roman" w:cs="Times New Roman"/>
          <w:bCs/>
          <w:sz w:val="18"/>
          <w:szCs w:val="18"/>
        </w:rPr>
        <w:t xml:space="preserve"> halinde tekrar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öncesinde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almış ve bu tedavi ile hastalığı </w:t>
      </w:r>
      <w:proofErr w:type="spellStart"/>
      <w:r w:rsidRPr="006A55C8">
        <w:rPr>
          <w:rFonts w:ascii="Times New Roman" w:hAnsi="Times New Roman" w:cs="Times New Roman"/>
          <w:bCs/>
          <w:sz w:val="18"/>
          <w:szCs w:val="18"/>
        </w:rPr>
        <w:t>progrese</w:t>
      </w:r>
      <w:proofErr w:type="spellEnd"/>
      <w:r w:rsidRPr="006A55C8">
        <w:rPr>
          <w:rFonts w:ascii="Times New Roman" w:hAnsi="Times New Roman" w:cs="Times New Roman"/>
          <w:bCs/>
          <w:sz w:val="18"/>
          <w:szCs w:val="18"/>
        </w:rPr>
        <w:t xml:space="preserve"> olmuş hastalarda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5)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kombinasyonu; IMDC risk kategorisi orta/kötü riskli, </w:t>
      </w:r>
      <w:proofErr w:type="spellStart"/>
      <w:r w:rsidRPr="006A55C8">
        <w:rPr>
          <w:rFonts w:ascii="Times New Roman" w:hAnsi="Times New Roman" w:cs="Times New Roman"/>
          <w:bCs/>
          <w:sz w:val="18"/>
          <w:szCs w:val="18"/>
        </w:rPr>
        <w:t>karnofsky</w:t>
      </w:r>
      <w:proofErr w:type="spellEnd"/>
      <w:r w:rsidRPr="006A55C8">
        <w:rPr>
          <w:rFonts w:ascii="Times New Roman" w:hAnsi="Times New Roman" w:cs="Times New Roman"/>
          <w:bCs/>
          <w:sz w:val="18"/>
          <w:szCs w:val="18"/>
        </w:rPr>
        <w:t xml:space="preserve"> performans durumu 70 ve üzerinde olan ve 65 yaş ve altındaki ileri evre </w:t>
      </w:r>
      <w:proofErr w:type="spellStart"/>
      <w:r w:rsidRPr="006A55C8">
        <w:rPr>
          <w:rFonts w:ascii="Times New Roman" w:hAnsi="Times New Roman" w:cs="Times New Roman"/>
          <w:bCs/>
          <w:sz w:val="18"/>
          <w:szCs w:val="18"/>
        </w:rPr>
        <w:t>renal</w:t>
      </w:r>
      <w:proofErr w:type="spellEnd"/>
      <w:r w:rsidRPr="006A55C8">
        <w:rPr>
          <w:rFonts w:ascii="Times New Roman" w:hAnsi="Times New Roman" w:cs="Times New Roman"/>
          <w:bCs/>
          <w:sz w:val="18"/>
          <w:szCs w:val="18"/>
        </w:rPr>
        <w:t xml:space="preserve"> hücreli </w:t>
      </w:r>
      <w:proofErr w:type="spellStart"/>
      <w:r w:rsidRPr="006A55C8">
        <w:rPr>
          <w:rFonts w:ascii="Times New Roman" w:hAnsi="Times New Roman" w:cs="Times New Roman"/>
          <w:bCs/>
          <w:sz w:val="18"/>
          <w:szCs w:val="18"/>
        </w:rPr>
        <w:t>karsinomlu</w:t>
      </w:r>
      <w:proofErr w:type="spellEnd"/>
      <w:r w:rsidRPr="006A55C8">
        <w:rPr>
          <w:rFonts w:ascii="Times New Roman" w:hAnsi="Times New Roman" w:cs="Times New Roman"/>
          <w:bCs/>
          <w:sz w:val="18"/>
          <w:szCs w:val="18"/>
        </w:rPr>
        <w:t xml:space="preserve"> yetişkin hastaların birinci basamak tedavisinde kullanılması halinde bedeli Kurumca karşılanır.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için en fazla 4 doz (1 doz=3 haftada bir uygulanan 1mg/kg dozunda uygulanan tedavi) tedavi bedeli karşılanır.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ile kombine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6)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karnofsky</w:t>
      </w:r>
      <w:proofErr w:type="spellEnd"/>
      <w:r w:rsidRPr="006A55C8">
        <w:rPr>
          <w:rFonts w:ascii="Times New Roman" w:hAnsi="Times New Roman" w:cs="Times New Roman"/>
          <w:bCs/>
          <w:sz w:val="18"/>
          <w:szCs w:val="18"/>
        </w:rPr>
        <w:t xml:space="preserve"> performans durumu en az 70 olan, daha önce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almamış ve en az bir seri </w:t>
      </w:r>
      <w:proofErr w:type="spellStart"/>
      <w:r w:rsidRPr="006A55C8">
        <w:rPr>
          <w:rFonts w:ascii="Times New Roman" w:hAnsi="Times New Roman" w:cs="Times New Roman"/>
          <w:bCs/>
          <w:sz w:val="18"/>
          <w:szCs w:val="18"/>
        </w:rPr>
        <w:t>Vasküler</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Endotelyal</w:t>
      </w:r>
      <w:proofErr w:type="spellEnd"/>
      <w:r w:rsidRPr="006A55C8">
        <w:rPr>
          <w:rFonts w:ascii="Times New Roman" w:hAnsi="Times New Roman" w:cs="Times New Roman"/>
          <w:bCs/>
          <w:sz w:val="18"/>
          <w:szCs w:val="18"/>
        </w:rPr>
        <w:t xml:space="preserve"> Büyüme Faktörü (VEGF) hedefli tedaviyi kullanmış ve en fazla 3 basamak sistemik tedavi uygulanmış,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gelişmiş, ileri evre berrak hücreli </w:t>
      </w:r>
      <w:proofErr w:type="spellStart"/>
      <w:r w:rsidRPr="006A55C8">
        <w:rPr>
          <w:rFonts w:ascii="Times New Roman" w:hAnsi="Times New Roman" w:cs="Times New Roman"/>
          <w:bCs/>
          <w:sz w:val="18"/>
          <w:szCs w:val="18"/>
        </w:rPr>
        <w:t>renal</w:t>
      </w:r>
      <w:proofErr w:type="spellEnd"/>
      <w:r w:rsidRPr="006A55C8">
        <w:rPr>
          <w:rFonts w:ascii="Times New Roman" w:hAnsi="Times New Roman" w:cs="Times New Roman"/>
          <w:bCs/>
          <w:sz w:val="18"/>
          <w:szCs w:val="18"/>
        </w:rPr>
        <w:t xml:space="preserve"> kanseri olan yetişkin hastaların tedavisinde </w:t>
      </w:r>
      <w:proofErr w:type="spellStart"/>
      <w:r w:rsidRPr="006A55C8">
        <w:rPr>
          <w:rFonts w:ascii="Times New Roman" w:hAnsi="Times New Roman" w:cs="Times New Roman"/>
          <w:bCs/>
          <w:sz w:val="18"/>
          <w:szCs w:val="18"/>
        </w:rPr>
        <w:t>progresyona</w:t>
      </w:r>
      <w:proofErr w:type="spellEnd"/>
      <w:r w:rsidRPr="006A55C8">
        <w:rPr>
          <w:rFonts w:ascii="Times New Roman" w:hAnsi="Times New Roman" w:cs="Times New Roman"/>
          <w:bCs/>
          <w:sz w:val="18"/>
          <w:szCs w:val="18"/>
        </w:rPr>
        <w:t xml:space="preserve"> kadar kullanılması halinde bedeli Kurumca karşılanır.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7)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nüks</w:t>
      </w:r>
      <w:proofErr w:type="spellEnd"/>
      <w:r w:rsidRPr="006A55C8">
        <w:rPr>
          <w:rFonts w:ascii="Times New Roman" w:hAnsi="Times New Roman" w:cs="Times New Roman"/>
          <w:bCs/>
          <w:sz w:val="18"/>
          <w:szCs w:val="18"/>
        </w:rPr>
        <w:t xml:space="preserve"> veya </w:t>
      </w:r>
      <w:proofErr w:type="spellStart"/>
      <w:r w:rsidRPr="006A55C8">
        <w:rPr>
          <w:rFonts w:ascii="Times New Roman" w:hAnsi="Times New Roman" w:cs="Times New Roman"/>
          <w:bCs/>
          <w:sz w:val="18"/>
          <w:szCs w:val="18"/>
        </w:rPr>
        <w:t>refrakter</w:t>
      </w:r>
      <w:proofErr w:type="spellEnd"/>
      <w:r w:rsidRPr="006A55C8">
        <w:rPr>
          <w:rFonts w:ascii="Times New Roman" w:hAnsi="Times New Roman" w:cs="Times New Roman"/>
          <w:bCs/>
          <w:sz w:val="18"/>
          <w:szCs w:val="18"/>
        </w:rPr>
        <w:t xml:space="preserve"> klasik </w:t>
      </w:r>
      <w:proofErr w:type="spellStart"/>
      <w:r w:rsidRPr="006A55C8">
        <w:rPr>
          <w:rFonts w:ascii="Times New Roman" w:hAnsi="Times New Roman" w:cs="Times New Roman"/>
          <w:bCs/>
          <w:sz w:val="18"/>
          <w:szCs w:val="18"/>
        </w:rPr>
        <w:t>hodgkin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lenfoma</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endikasyonunda</w:t>
      </w:r>
      <w:proofErr w:type="spellEnd"/>
      <w:r w:rsidRPr="006A55C8">
        <w:rPr>
          <w:rFonts w:ascii="Times New Roman" w:hAnsi="Times New Roman" w:cs="Times New Roman"/>
          <w:bCs/>
          <w:sz w:val="18"/>
          <w:szCs w:val="18"/>
        </w:rPr>
        <w:t xml:space="preserve">; </w:t>
      </w:r>
      <w:proofErr w:type="spellStart"/>
      <w:r>
        <w:rPr>
          <w:rFonts w:ascii="Times New Roman" w:hAnsi="Times New Roman" w:cs="Times New Roman"/>
          <w:bCs/>
          <w:sz w:val="18"/>
          <w:szCs w:val="18"/>
        </w:rPr>
        <w:t>O</w:t>
      </w:r>
      <w:r w:rsidRPr="006A55C8">
        <w:rPr>
          <w:rFonts w:ascii="Times New Roman" w:hAnsi="Times New Roman" w:cs="Times New Roman"/>
          <w:bCs/>
          <w:sz w:val="18"/>
          <w:szCs w:val="18"/>
        </w:rPr>
        <w:t>tolog</w:t>
      </w:r>
      <w:proofErr w:type="spellEnd"/>
      <w:r w:rsidRPr="006A55C8">
        <w:rPr>
          <w:rFonts w:ascii="Times New Roman" w:hAnsi="Times New Roman" w:cs="Times New Roman"/>
          <w:bCs/>
          <w:sz w:val="18"/>
          <w:szCs w:val="18"/>
        </w:rPr>
        <w:t xml:space="preserve"> </w:t>
      </w:r>
      <w:r>
        <w:rPr>
          <w:rFonts w:ascii="Times New Roman" w:hAnsi="Times New Roman" w:cs="Times New Roman"/>
          <w:bCs/>
          <w:sz w:val="18"/>
          <w:szCs w:val="18"/>
        </w:rPr>
        <w:t>K</w:t>
      </w:r>
      <w:r w:rsidRPr="006A55C8">
        <w:rPr>
          <w:rFonts w:ascii="Times New Roman" w:hAnsi="Times New Roman" w:cs="Times New Roman"/>
          <w:bCs/>
          <w:sz w:val="18"/>
          <w:szCs w:val="18"/>
        </w:rPr>
        <w:t xml:space="preserve">ök </w:t>
      </w:r>
      <w:r>
        <w:rPr>
          <w:rFonts w:ascii="Times New Roman" w:hAnsi="Times New Roman" w:cs="Times New Roman"/>
          <w:bCs/>
          <w:sz w:val="18"/>
          <w:szCs w:val="18"/>
        </w:rPr>
        <w:t>H</w:t>
      </w:r>
      <w:r w:rsidRPr="006A55C8">
        <w:rPr>
          <w:rFonts w:ascii="Times New Roman" w:hAnsi="Times New Roman" w:cs="Times New Roman"/>
          <w:bCs/>
          <w:sz w:val="18"/>
          <w:szCs w:val="18"/>
        </w:rPr>
        <w:t xml:space="preserve">ücre </w:t>
      </w:r>
      <w:r>
        <w:rPr>
          <w:rFonts w:ascii="Times New Roman" w:hAnsi="Times New Roman" w:cs="Times New Roman"/>
          <w:bCs/>
          <w:sz w:val="18"/>
          <w:szCs w:val="18"/>
        </w:rPr>
        <w:t>N</w:t>
      </w:r>
      <w:r w:rsidRPr="006A55C8">
        <w:rPr>
          <w:rFonts w:ascii="Times New Roman" w:hAnsi="Times New Roman" w:cs="Times New Roman"/>
          <w:bCs/>
          <w:sz w:val="18"/>
          <w:szCs w:val="18"/>
        </w:rPr>
        <w:t xml:space="preserve">akli (OKHN) sonrasında </w:t>
      </w:r>
      <w:proofErr w:type="spellStart"/>
      <w:r w:rsidRPr="006A55C8">
        <w:rPr>
          <w:rFonts w:ascii="Times New Roman" w:hAnsi="Times New Roman" w:cs="Times New Roman"/>
          <w:bCs/>
          <w:sz w:val="18"/>
          <w:szCs w:val="18"/>
        </w:rPr>
        <w:t>brentuksimab</w:t>
      </w:r>
      <w:proofErr w:type="spellEnd"/>
      <w:r w:rsidRPr="006A55C8">
        <w:rPr>
          <w:rFonts w:ascii="Times New Roman" w:hAnsi="Times New Roman" w:cs="Times New Roman"/>
          <w:bCs/>
          <w:sz w:val="18"/>
          <w:szCs w:val="18"/>
        </w:rPr>
        <w:t xml:space="preserve"> tedavisinden sonra veya OKHN de dahil olmak üzere en az 3 basamak sistemik tedavi sonrasında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kullanılması halinde bedeli Kurumca karşılanır. Bu durumların belirtildiği, en az bir tıbbi onkoloji veya hematoloji uzman hekiminin yer aldığı tedavi protokolünü de gösterir 3 ay süreli sağlık kurulu raporuna dayanılarak tıbbi onkoloji veya hematoloji uzman hekimleri tarafından reçete edilmesi halinde bedeli Kurumca karşılanır. Rapor yenilenmesi durumunda en az kısmi yanıt alındığının raporda belirtilmesi gerekir.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8)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kombinasyonu; </w:t>
      </w:r>
      <w:proofErr w:type="spellStart"/>
      <w:r w:rsidRPr="006A55C8">
        <w:rPr>
          <w:rFonts w:ascii="Times New Roman" w:hAnsi="Times New Roman" w:cs="Times New Roman"/>
          <w:bCs/>
          <w:sz w:val="18"/>
          <w:szCs w:val="18"/>
        </w:rPr>
        <w:t>rezeke</w:t>
      </w:r>
      <w:proofErr w:type="spellEnd"/>
      <w:r w:rsidRPr="006A55C8">
        <w:rPr>
          <w:rFonts w:ascii="Times New Roman" w:hAnsi="Times New Roman" w:cs="Times New Roman"/>
          <w:bCs/>
          <w:sz w:val="18"/>
          <w:szCs w:val="18"/>
        </w:rPr>
        <w:t xml:space="preserve"> edilemeyen </w:t>
      </w:r>
      <w:proofErr w:type="spellStart"/>
      <w:r w:rsidRPr="006A55C8">
        <w:rPr>
          <w:rFonts w:ascii="Times New Roman" w:hAnsi="Times New Roman" w:cs="Times New Roman"/>
          <w:bCs/>
          <w:sz w:val="18"/>
          <w:szCs w:val="18"/>
        </w:rPr>
        <w:t>non-epiteloid</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malign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plevral</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mezotelyoması</w:t>
      </w:r>
      <w:proofErr w:type="spellEnd"/>
      <w:r w:rsidRPr="006A55C8">
        <w:rPr>
          <w:rFonts w:ascii="Times New Roman" w:hAnsi="Times New Roman" w:cs="Times New Roman"/>
          <w:bCs/>
          <w:sz w:val="18"/>
          <w:szCs w:val="18"/>
        </w:rPr>
        <w:t xml:space="preserve"> olan yetişkin hastaların birinci basamak tedavisinde </w:t>
      </w:r>
      <w:proofErr w:type="spellStart"/>
      <w:r w:rsidRPr="006A55C8">
        <w:rPr>
          <w:rFonts w:ascii="Times New Roman" w:hAnsi="Times New Roman" w:cs="Times New Roman"/>
          <w:bCs/>
          <w:sz w:val="18"/>
          <w:szCs w:val="18"/>
        </w:rPr>
        <w:t>progresyona</w:t>
      </w:r>
      <w:proofErr w:type="spellEnd"/>
      <w:r w:rsidRPr="006A55C8">
        <w:rPr>
          <w:rFonts w:ascii="Times New Roman" w:hAnsi="Times New Roman" w:cs="Times New Roman"/>
          <w:bCs/>
          <w:sz w:val="18"/>
          <w:szCs w:val="18"/>
        </w:rPr>
        <w:t xml:space="preserve"> kadar kullanılması halinde bedeli Kurumca karşılanır. Hastalık </w:t>
      </w:r>
      <w:proofErr w:type="spellStart"/>
      <w:r w:rsidRPr="006A55C8">
        <w:rPr>
          <w:rFonts w:ascii="Times New Roman" w:hAnsi="Times New Roman" w:cs="Times New Roman"/>
          <w:bCs/>
          <w:sz w:val="18"/>
          <w:szCs w:val="18"/>
        </w:rPr>
        <w:t>progresyonuna</w:t>
      </w:r>
      <w:proofErr w:type="spellEnd"/>
      <w:r w:rsidRPr="006A55C8">
        <w:rPr>
          <w:rFonts w:ascii="Times New Roman" w:hAnsi="Times New Roman" w:cs="Times New Roman"/>
          <w:bCs/>
          <w:sz w:val="18"/>
          <w:szCs w:val="18"/>
        </w:rPr>
        <w:t xml:space="preserve">, kabul edilemez </w:t>
      </w:r>
      <w:proofErr w:type="spellStart"/>
      <w:r w:rsidRPr="006A55C8">
        <w:rPr>
          <w:rFonts w:ascii="Times New Roman" w:hAnsi="Times New Roman" w:cs="Times New Roman"/>
          <w:bCs/>
          <w:sz w:val="18"/>
          <w:szCs w:val="18"/>
        </w:rPr>
        <w:t>toksisiteye</w:t>
      </w:r>
      <w:proofErr w:type="spellEnd"/>
      <w:r w:rsidRPr="006A55C8">
        <w:rPr>
          <w:rFonts w:ascii="Times New Roman" w:hAnsi="Times New Roman" w:cs="Times New Roman"/>
          <w:bCs/>
          <w:sz w:val="18"/>
          <w:szCs w:val="18"/>
        </w:rPr>
        <w:t xml:space="preserve"> veya hastalık </w:t>
      </w:r>
      <w:proofErr w:type="spellStart"/>
      <w:r w:rsidRPr="006A55C8">
        <w:rPr>
          <w:rFonts w:ascii="Times New Roman" w:hAnsi="Times New Roman" w:cs="Times New Roman"/>
          <w:bCs/>
          <w:sz w:val="18"/>
          <w:szCs w:val="18"/>
        </w:rPr>
        <w:t>progresyonu</w:t>
      </w:r>
      <w:proofErr w:type="spellEnd"/>
      <w:r w:rsidRPr="006A55C8">
        <w:rPr>
          <w:rFonts w:ascii="Times New Roman" w:hAnsi="Times New Roman" w:cs="Times New Roman"/>
          <w:bCs/>
          <w:sz w:val="18"/>
          <w:szCs w:val="18"/>
        </w:rPr>
        <w:t xml:space="preserve"> olmayan hastalarda en fazla 24 aya kadar kullanılır. </w:t>
      </w:r>
      <w:proofErr w:type="spellStart"/>
      <w:r w:rsidRPr="006A55C8">
        <w:rPr>
          <w:rFonts w:ascii="Times New Roman" w:hAnsi="Times New Roman" w:cs="Times New Roman"/>
          <w:bCs/>
          <w:sz w:val="18"/>
          <w:szCs w:val="18"/>
        </w:rPr>
        <w:lastRenderedPageBreak/>
        <w:t>Nivolumab</w:t>
      </w:r>
      <w:proofErr w:type="spellEnd"/>
      <w:r w:rsidRPr="006A55C8">
        <w:rPr>
          <w:rFonts w:ascii="Times New Roman" w:hAnsi="Times New Roman" w:cs="Times New Roman"/>
          <w:bCs/>
          <w:sz w:val="18"/>
          <w:szCs w:val="18"/>
        </w:rPr>
        <w:t xml:space="preserve"> ile kombine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9)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ECOG performans skoru 0-1 olan, </w:t>
      </w:r>
      <w:proofErr w:type="spellStart"/>
      <w:r w:rsidRPr="006A55C8">
        <w:rPr>
          <w:rFonts w:ascii="Times New Roman" w:hAnsi="Times New Roman" w:cs="Times New Roman"/>
          <w:bCs/>
          <w:sz w:val="18"/>
          <w:szCs w:val="18"/>
        </w:rPr>
        <w:t>opere</w:t>
      </w:r>
      <w:proofErr w:type="spellEnd"/>
      <w:r w:rsidRPr="006A55C8">
        <w:rPr>
          <w:rFonts w:ascii="Times New Roman" w:hAnsi="Times New Roman" w:cs="Times New Roman"/>
          <w:bCs/>
          <w:sz w:val="18"/>
          <w:szCs w:val="18"/>
        </w:rPr>
        <w:t xml:space="preserve"> edilemeyen lokal ileri evre </w:t>
      </w:r>
      <w:proofErr w:type="spellStart"/>
      <w:r w:rsidRPr="006A55C8">
        <w:rPr>
          <w:rFonts w:ascii="Times New Roman" w:hAnsi="Times New Roman" w:cs="Times New Roman"/>
          <w:bCs/>
          <w:sz w:val="18"/>
          <w:szCs w:val="18"/>
        </w:rPr>
        <w:t>kemoradyoterapi</w:t>
      </w:r>
      <w:proofErr w:type="spellEnd"/>
      <w:r w:rsidRPr="006A55C8">
        <w:rPr>
          <w:rFonts w:ascii="Times New Roman" w:hAnsi="Times New Roman" w:cs="Times New Roman"/>
          <w:bCs/>
          <w:sz w:val="18"/>
          <w:szCs w:val="18"/>
        </w:rPr>
        <w:t xml:space="preserve"> sonrası </w:t>
      </w:r>
      <w:proofErr w:type="spellStart"/>
      <w:r w:rsidRPr="006A55C8">
        <w:rPr>
          <w:rFonts w:ascii="Times New Roman" w:hAnsi="Times New Roman" w:cs="Times New Roman"/>
          <w:bCs/>
          <w:sz w:val="18"/>
          <w:szCs w:val="18"/>
        </w:rPr>
        <w:t>nüks</w:t>
      </w:r>
      <w:proofErr w:type="spellEnd"/>
      <w:r w:rsidRPr="006A55C8">
        <w:rPr>
          <w:rFonts w:ascii="Times New Roman" w:hAnsi="Times New Roman" w:cs="Times New Roman"/>
          <w:bCs/>
          <w:sz w:val="18"/>
          <w:szCs w:val="18"/>
        </w:rPr>
        <w:t>/</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veya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baş boyun (oral </w:t>
      </w:r>
      <w:proofErr w:type="spellStart"/>
      <w:r w:rsidRPr="006A55C8">
        <w:rPr>
          <w:rFonts w:ascii="Times New Roman" w:hAnsi="Times New Roman" w:cs="Times New Roman"/>
          <w:bCs/>
          <w:sz w:val="18"/>
          <w:szCs w:val="18"/>
        </w:rPr>
        <w:t>kavite</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farenks</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larenks</w:t>
      </w:r>
      <w:proofErr w:type="spellEnd"/>
      <w:r w:rsidRPr="006A55C8">
        <w:rPr>
          <w:rFonts w:ascii="Times New Roman" w:hAnsi="Times New Roman" w:cs="Times New Roman"/>
          <w:bCs/>
          <w:sz w:val="18"/>
          <w:szCs w:val="18"/>
        </w:rPr>
        <w:t xml:space="preserve">) yassı </w:t>
      </w:r>
      <w:proofErr w:type="spellStart"/>
      <w:r w:rsidRPr="006A55C8">
        <w:rPr>
          <w:rFonts w:ascii="Times New Roman" w:hAnsi="Times New Roman" w:cs="Times New Roman"/>
          <w:bCs/>
          <w:sz w:val="18"/>
          <w:szCs w:val="18"/>
        </w:rPr>
        <w:t>epitel</w:t>
      </w:r>
      <w:proofErr w:type="spellEnd"/>
      <w:r w:rsidRPr="006A55C8">
        <w:rPr>
          <w:rFonts w:ascii="Times New Roman" w:hAnsi="Times New Roman" w:cs="Times New Roman"/>
          <w:bCs/>
          <w:sz w:val="18"/>
          <w:szCs w:val="18"/>
        </w:rPr>
        <w:t xml:space="preserve"> hücreli kanserlerde birinci basamak platin temelli kemoterapi sonrası ilk 6 ay içerisinde </w:t>
      </w:r>
      <w:proofErr w:type="spellStart"/>
      <w:r w:rsidRPr="006A55C8">
        <w:rPr>
          <w:rFonts w:ascii="Times New Roman" w:hAnsi="Times New Roman" w:cs="Times New Roman"/>
          <w:bCs/>
          <w:sz w:val="18"/>
          <w:szCs w:val="18"/>
        </w:rPr>
        <w:t>nüks</w:t>
      </w:r>
      <w:proofErr w:type="spellEnd"/>
      <w:r w:rsidRPr="006A55C8">
        <w:rPr>
          <w:rFonts w:ascii="Times New Roman" w:hAnsi="Times New Roman" w:cs="Times New Roman"/>
          <w:bCs/>
          <w:sz w:val="18"/>
          <w:szCs w:val="18"/>
        </w:rPr>
        <w:t xml:space="preserve"> gelişen hastaların tedavisinde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w:t>
      </w:r>
      <w:proofErr w:type="spellStart"/>
      <w:r w:rsidRPr="006A55C8">
        <w:rPr>
          <w:rFonts w:ascii="Times New Roman" w:hAnsi="Times New Roman" w:cs="Times New Roman"/>
          <w:bCs/>
          <w:sz w:val="18"/>
          <w:szCs w:val="18"/>
        </w:rPr>
        <w:t>progresyona</w:t>
      </w:r>
      <w:proofErr w:type="spellEnd"/>
      <w:r w:rsidRPr="006A55C8">
        <w:rPr>
          <w:rFonts w:ascii="Times New Roman" w:hAnsi="Times New Roman" w:cs="Times New Roman"/>
          <w:bCs/>
          <w:sz w:val="18"/>
          <w:szCs w:val="18"/>
        </w:rPr>
        <w:t xml:space="preserve"> kadar kullanılması halinde bedeli Kurumca karşılanır.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öncesinde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almış ve bu tedavi ile hastalığı </w:t>
      </w:r>
      <w:proofErr w:type="spellStart"/>
      <w:r w:rsidRPr="006A55C8">
        <w:rPr>
          <w:rFonts w:ascii="Times New Roman" w:hAnsi="Times New Roman" w:cs="Times New Roman"/>
          <w:bCs/>
          <w:sz w:val="18"/>
          <w:szCs w:val="18"/>
        </w:rPr>
        <w:t>progrese</w:t>
      </w:r>
      <w:proofErr w:type="spellEnd"/>
      <w:r w:rsidRPr="006A55C8">
        <w:rPr>
          <w:rFonts w:ascii="Times New Roman" w:hAnsi="Times New Roman" w:cs="Times New Roman"/>
          <w:bCs/>
          <w:sz w:val="18"/>
          <w:szCs w:val="18"/>
        </w:rPr>
        <w:t xml:space="preserve"> olmuş hastalarda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10)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ECOG performans skoru 0-1 olan, bir </w:t>
      </w:r>
      <w:proofErr w:type="spellStart"/>
      <w:r w:rsidRPr="006A55C8">
        <w:rPr>
          <w:rFonts w:ascii="Times New Roman" w:hAnsi="Times New Roman" w:cs="Times New Roman"/>
          <w:bCs/>
          <w:sz w:val="18"/>
          <w:szCs w:val="18"/>
        </w:rPr>
        <w:t>floropirimidin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oksaliplatin</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irinotekan</w:t>
      </w:r>
      <w:proofErr w:type="spellEnd"/>
      <w:r w:rsidRPr="006A55C8">
        <w:rPr>
          <w:rFonts w:ascii="Times New Roman" w:hAnsi="Times New Roman" w:cs="Times New Roman"/>
          <w:bCs/>
          <w:sz w:val="18"/>
          <w:szCs w:val="18"/>
        </w:rPr>
        <w:t xml:space="preserve"> ile tedaviyi takiben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gösteren </w:t>
      </w:r>
      <w:proofErr w:type="spellStart"/>
      <w:r w:rsidRPr="006A55C8">
        <w:rPr>
          <w:rFonts w:ascii="Times New Roman" w:hAnsi="Times New Roman" w:cs="Times New Roman"/>
          <w:bCs/>
          <w:sz w:val="18"/>
          <w:szCs w:val="18"/>
        </w:rPr>
        <w:t>mikrosatellit</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instabilitesi</w:t>
      </w:r>
      <w:proofErr w:type="spellEnd"/>
      <w:r w:rsidRPr="006A55C8">
        <w:rPr>
          <w:rFonts w:ascii="Times New Roman" w:hAnsi="Times New Roman" w:cs="Times New Roman"/>
          <w:bCs/>
          <w:sz w:val="18"/>
          <w:szCs w:val="18"/>
        </w:rPr>
        <w:t xml:space="preserve"> yüksek (MSI-H) ya da uyumsuzluk onarım eksikliği (</w:t>
      </w:r>
      <w:proofErr w:type="spellStart"/>
      <w:r w:rsidRPr="006A55C8">
        <w:rPr>
          <w:rFonts w:ascii="Times New Roman" w:hAnsi="Times New Roman" w:cs="Times New Roman"/>
          <w:bCs/>
          <w:sz w:val="18"/>
          <w:szCs w:val="18"/>
        </w:rPr>
        <w:t>dMMR</w:t>
      </w:r>
      <w:proofErr w:type="spellEnd"/>
      <w:r w:rsidRPr="006A55C8">
        <w:rPr>
          <w:rFonts w:ascii="Times New Roman" w:hAnsi="Times New Roman" w:cs="Times New Roman"/>
          <w:bCs/>
          <w:sz w:val="18"/>
          <w:szCs w:val="18"/>
        </w:rPr>
        <w:t xml:space="preserve">) olan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kolorektal</w:t>
      </w:r>
      <w:proofErr w:type="spellEnd"/>
      <w:r w:rsidRPr="006A55C8">
        <w:rPr>
          <w:rFonts w:ascii="Times New Roman" w:hAnsi="Times New Roman" w:cs="Times New Roman"/>
          <w:bCs/>
          <w:sz w:val="18"/>
          <w:szCs w:val="18"/>
        </w:rPr>
        <w:t xml:space="preserve"> kanseri olan yetişkin hastaların tedavisinde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w:t>
      </w:r>
      <w:proofErr w:type="spellStart"/>
      <w:r w:rsidRPr="006A55C8">
        <w:rPr>
          <w:rFonts w:ascii="Times New Roman" w:hAnsi="Times New Roman" w:cs="Times New Roman"/>
          <w:bCs/>
          <w:sz w:val="18"/>
          <w:szCs w:val="18"/>
        </w:rPr>
        <w:t>progresyona</w:t>
      </w:r>
      <w:proofErr w:type="spellEnd"/>
      <w:r w:rsidRPr="006A55C8">
        <w:rPr>
          <w:rFonts w:ascii="Times New Roman" w:hAnsi="Times New Roman" w:cs="Times New Roman"/>
          <w:bCs/>
          <w:sz w:val="18"/>
          <w:szCs w:val="18"/>
        </w:rPr>
        <w:t xml:space="preserve"> kadar kullanılması halinde bedeli Kurumca karşılanır.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öncesinde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almış ve bu tedavi ile hastalığı </w:t>
      </w:r>
      <w:proofErr w:type="spellStart"/>
      <w:r w:rsidRPr="006A55C8">
        <w:rPr>
          <w:rFonts w:ascii="Times New Roman" w:hAnsi="Times New Roman" w:cs="Times New Roman"/>
          <w:bCs/>
          <w:sz w:val="18"/>
          <w:szCs w:val="18"/>
        </w:rPr>
        <w:t>progrese</w:t>
      </w:r>
      <w:proofErr w:type="spellEnd"/>
      <w:r w:rsidRPr="006A55C8">
        <w:rPr>
          <w:rFonts w:ascii="Times New Roman" w:hAnsi="Times New Roman" w:cs="Times New Roman"/>
          <w:bCs/>
          <w:sz w:val="18"/>
          <w:szCs w:val="18"/>
        </w:rPr>
        <w:t xml:space="preserve"> olmuş hastalarda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11)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ECOG performans skoru 0-1 olan,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veya </w:t>
      </w:r>
      <w:proofErr w:type="spellStart"/>
      <w:r w:rsidRPr="006A55C8">
        <w:rPr>
          <w:rFonts w:ascii="Times New Roman" w:hAnsi="Times New Roman" w:cs="Times New Roman"/>
          <w:bCs/>
          <w:sz w:val="18"/>
          <w:szCs w:val="18"/>
        </w:rPr>
        <w:t>küratif</w:t>
      </w:r>
      <w:proofErr w:type="spellEnd"/>
      <w:r w:rsidRPr="006A55C8">
        <w:rPr>
          <w:rFonts w:ascii="Times New Roman" w:hAnsi="Times New Roman" w:cs="Times New Roman"/>
          <w:bCs/>
          <w:sz w:val="18"/>
          <w:szCs w:val="18"/>
        </w:rPr>
        <w:t xml:space="preserve"> tedaviye uygun olmayan lokal ileri </w:t>
      </w:r>
      <w:proofErr w:type="spellStart"/>
      <w:r w:rsidRPr="006A55C8">
        <w:rPr>
          <w:rFonts w:ascii="Times New Roman" w:hAnsi="Times New Roman" w:cs="Times New Roman"/>
          <w:bCs/>
          <w:sz w:val="18"/>
          <w:szCs w:val="18"/>
        </w:rPr>
        <w:t>özofagus</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skuamöz</w:t>
      </w:r>
      <w:proofErr w:type="spellEnd"/>
      <w:r w:rsidRPr="006A55C8">
        <w:rPr>
          <w:rFonts w:ascii="Times New Roman" w:hAnsi="Times New Roman" w:cs="Times New Roman"/>
          <w:bCs/>
          <w:sz w:val="18"/>
          <w:szCs w:val="18"/>
        </w:rPr>
        <w:t xml:space="preserve"> hücreli </w:t>
      </w:r>
      <w:proofErr w:type="spellStart"/>
      <w:r w:rsidRPr="006A55C8">
        <w:rPr>
          <w:rFonts w:ascii="Times New Roman" w:hAnsi="Times New Roman" w:cs="Times New Roman"/>
          <w:bCs/>
          <w:sz w:val="18"/>
          <w:szCs w:val="18"/>
        </w:rPr>
        <w:t>karsinomu</w:t>
      </w:r>
      <w:proofErr w:type="spellEnd"/>
      <w:r w:rsidRPr="006A55C8">
        <w:rPr>
          <w:rFonts w:ascii="Times New Roman" w:hAnsi="Times New Roman" w:cs="Times New Roman"/>
          <w:bCs/>
          <w:sz w:val="18"/>
          <w:szCs w:val="18"/>
        </w:rPr>
        <w:t xml:space="preserve"> olan yetişkin hastaların tedavisinde </w:t>
      </w:r>
      <w:proofErr w:type="spellStart"/>
      <w:r w:rsidRPr="006A55C8">
        <w:rPr>
          <w:rFonts w:ascii="Times New Roman" w:hAnsi="Times New Roman" w:cs="Times New Roman"/>
          <w:bCs/>
          <w:sz w:val="18"/>
          <w:szCs w:val="18"/>
        </w:rPr>
        <w:t>floropirimidin</w:t>
      </w:r>
      <w:proofErr w:type="spellEnd"/>
      <w:r w:rsidRPr="006A55C8">
        <w:rPr>
          <w:rFonts w:ascii="Times New Roman" w:hAnsi="Times New Roman" w:cs="Times New Roman"/>
          <w:bCs/>
          <w:sz w:val="18"/>
          <w:szCs w:val="18"/>
        </w:rPr>
        <w:t xml:space="preserve"> ve platin bazlı kombinasyon kemoterapisi almış ve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hastalarda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w:t>
      </w:r>
      <w:proofErr w:type="spellStart"/>
      <w:r w:rsidRPr="006A55C8">
        <w:rPr>
          <w:rFonts w:ascii="Times New Roman" w:hAnsi="Times New Roman" w:cs="Times New Roman"/>
          <w:bCs/>
          <w:sz w:val="18"/>
          <w:szCs w:val="18"/>
        </w:rPr>
        <w:t>progresyona</w:t>
      </w:r>
      <w:proofErr w:type="spellEnd"/>
      <w:r w:rsidRPr="006A55C8">
        <w:rPr>
          <w:rFonts w:ascii="Times New Roman" w:hAnsi="Times New Roman" w:cs="Times New Roman"/>
          <w:bCs/>
          <w:sz w:val="18"/>
          <w:szCs w:val="18"/>
        </w:rPr>
        <w:t xml:space="preserve"> kadar kullanılması halinde bedeli Kurumca karşılanır.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öncesinde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almış ve bu tedavi ile hastalığı </w:t>
      </w:r>
      <w:proofErr w:type="spellStart"/>
      <w:r w:rsidRPr="006A55C8">
        <w:rPr>
          <w:rFonts w:ascii="Times New Roman" w:hAnsi="Times New Roman" w:cs="Times New Roman"/>
          <w:bCs/>
          <w:sz w:val="18"/>
          <w:szCs w:val="18"/>
        </w:rPr>
        <w:t>progrese</w:t>
      </w:r>
      <w:proofErr w:type="spellEnd"/>
      <w:r w:rsidRPr="006A55C8">
        <w:rPr>
          <w:rFonts w:ascii="Times New Roman" w:hAnsi="Times New Roman" w:cs="Times New Roman"/>
          <w:bCs/>
          <w:sz w:val="18"/>
          <w:szCs w:val="18"/>
        </w:rPr>
        <w:t xml:space="preserve"> olmuş hastalarda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12)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floropirimidin</w:t>
      </w:r>
      <w:proofErr w:type="spellEnd"/>
      <w:r w:rsidRPr="006A55C8">
        <w:rPr>
          <w:rFonts w:ascii="Times New Roman" w:hAnsi="Times New Roman" w:cs="Times New Roman"/>
          <w:bCs/>
          <w:sz w:val="18"/>
          <w:szCs w:val="18"/>
        </w:rPr>
        <w:t xml:space="preserve"> ve platin içeren kemoterapi rejimi ile kombinasyon halinde, PD-L1 kombine pozitif skoru (CPS) ≥ 5 olup, HER2-negatif, ECOG performans durumu 0-1 olan, </w:t>
      </w:r>
      <w:proofErr w:type="spellStart"/>
      <w:r w:rsidRPr="006A55C8">
        <w:rPr>
          <w:rFonts w:ascii="Times New Roman" w:hAnsi="Times New Roman" w:cs="Times New Roman"/>
          <w:bCs/>
          <w:sz w:val="18"/>
          <w:szCs w:val="18"/>
        </w:rPr>
        <w:t>rezeke</w:t>
      </w:r>
      <w:proofErr w:type="spellEnd"/>
      <w:r w:rsidRPr="006A55C8">
        <w:rPr>
          <w:rFonts w:ascii="Times New Roman" w:hAnsi="Times New Roman" w:cs="Times New Roman"/>
          <w:bCs/>
          <w:sz w:val="18"/>
          <w:szCs w:val="18"/>
        </w:rPr>
        <w:t xml:space="preserve"> edilemeyen ileri evre/</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mide kanseri, </w:t>
      </w:r>
      <w:proofErr w:type="spellStart"/>
      <w:r w:rsidRPr="006A55C8">
        <w:rPr>
          <w:rFonts w:ascii="Times New Roman" w:hAnsi="Times New Roman" w:cs="Times New Roman"/>
          <w:bCs/>
          <w:sz w:val="18"/>
          <w:szCs w:val="18"/>
        </w:rPr>
        <w:t>gastroözofageal</w:t>
      </w:r>
      <w:proofErr w:type="spellEnd"/>
      <w:r w:rsidRPr="006A55C8">
        <w:rPr>
          <w:rFonts w:ascii="Times New Roman" w:hAnsi="Times New Roman" w:cs="Times New Roman"/>
          <w:bCs/>
          <w:sz w:val="18"/>
          <w:szCs w:val="18"/>
        </w:rPr>
        <w:t xml:space="preserve"> bileşke kanseri veya </w:t>
      </w:r>
      <w:proofErr w:type="spellStart"/>
      <w:r w:rsidRPr="006A55C8">
        <w:rPr>
          <w:rFonts w:ascii="Times New Roman" w:hAnsi="Times New Roman" w:cs="Times New Roman"/>
          <w:bCs/>
          <w:sz w:val="18"/>
          <w:szCs w:val="18"/>
        </w:rPr>
        <w:t>özofagus</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adenokarsinomu</w:t>
      </w:r>
      <w:proofErr w:type="spellEnd"/>
      <w:r w:rsidRPr="006A55C8">
        <w:rPr>
          <w:rFonts w:ascii="Times New Roman" w:hAnsi="Times New Roman" w:cs="Times New Roman"/>
          <w:bCs/>
          <w:sz w:val="18"/>
          <w:szCs w:val="18"/>
        </w:rPr>
        <w:t xml:space="preserve"> olan yetişkin hastaların birinci basamak tedavisinde hastalık </w:t>
      </w:r>
      <w:proofErr w:type="spellStart"/>
      <w:r w:rsidRPr="006A55C8">
        <w:rPr>
          <w:rFonts w:ascii="Times New Roman" w:hAnsi="Times New Roman" w:cs="Times New Roman"/>
          <w:bCs/>
          <w:sz w:val="18"/>
          <w:szCs w:val="18"/>
        </w:rPr>
        <w:t>progresyonuna</w:t>
      </w:r>
      <w:proofErr w:type="spellEnd"/>
      <w:r w:rsidRPr="006A55C8">
        <w:rPr>
          <w:rFonts w:ascii="Times New Roman" w:hAnsi="Times New Roman" w:cs="Times New Roman"/>
          <w:bCs/>
          <w:sz w:val="18"/>
          <w:szCs w:val="18"/>
        </w:rPr>
        <w:t xml:space="preserve">, kabul edilemez </w:t>
      </w:r>
      <w:proofErr w:type="spellStart"/>
      <w:r w:rsidRPr="006A55C8">
        <w:rPr>
          <w:rFonts w:ascii="Times New Roman" w:hAnsi="Times New Roman" w:cs="Times New Roman"/>
          <w:bCs/>
          <w:sz w:val="18"/>
          <w:szCs w:val="18"/>
        </w:rPr>
        <w:t>toksisiteye</w:t>
      </w:r>
      <w:proofErr w:type="spellEnd"/>
      <w:r w:rsidRPr="006A55C8">
        <w:rPr>
          <w:rFonts w:ascii="Times New Roman" w:hAnsi="Times New Roman" w:cs="Times New Roman"/>
          <w:bCs/>
          <w:sz w:val="18"/>
          <w:szCs w:val="18"/>
        </w:rPr>
        <w:t xml:space="preserve"> veya hastalık </w:t>
      </w:r>
      <w:proofErr w:type="spellStart"/>
      <w:r w:rsidRPr="006A55C8">
        <w:rPr>
          <w:rFonts w:ascii="Times New Roman" w:hAnsi="Times New Roman" w:cs="Times New Roman"/>
          <w:bCs/>
          <w:sz w:val="18"/>
          <w:szCs w:val="18"/>
        </w:rPr>
        <w:t>progresyonu</w:t>
      </w:r>
      <w:proofErr w:type="spellEnd"/>
      <w:r w:rsidRPr="006A55C8">
        <w:rPr>
          <w:rFonts w:ascii="Times New Roman" w:hAnsi="Times New Roman" w:cs="Times New Roman"/>
          <w:bCs/>
          <w:sz w:val="18"/>
          <w:szCs w:val="18"/>
        </w:rPr>
        <w:t xml:space="preserve"> olmayan hastalarda en fazla 24 aya kadar kullanılması halinde bedeli Kurumca karşılanır. Hastalar eğer </w:t>
      </w:r>
      <w:proofErr w:type="spellStart"/>
      <w:r w:rsidRPr="006A55C8">
        <w:rPr>
          <w:rFonts w:ascii="Times New Roman" w:hAnsi="Times New Roman" w:cs="Times New Roman"/>
          <w:bCs/>
          <w:sz w:val="18"/>
          <w:szCs w:val="18"/>
        </w:rPr>
        <w:t>neoadjuvan</w:t>
      </w:r>
      <w:proofErr w:type="spellEnd"/>
      <w:r w:rsidRPr="006A55C8">
        <w:rPr>
          <w:rFonts w:ascii="Times New Roman" w:hAnsi="Times New Roman" w:cs="Times New Roman"/>
          <w:bCs/>
          <w:sz w:val="18"/>
          <w:szCs w:val="18"/>
        </w:rPr>
        <w:t>/</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 aldılarsa en az 6 aylık hastalıksız süre geçmiş olmalıdır.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öncesinde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almış ve bu tedavi ile hastalığı </w:t>
      </w:r>
      <w:proofErr w:type="spellStart"/>
      <w:r w:rsidRPr="006A55C8">
        <w:rPr>
          <w:rFonts w:ascii="Times New Roman" w:hAnsi="Times New Roman" w:cs="Times New Roman"/>
          <w:bCs/>
          <w:sz w:val="18"/>
          <w:szCs w:val="18"/>
        </w:rPr>
        <w:t>progrese</w:t>
      </w:r>
      <w:proofErr w:type="spellEnd"/>
      <w:r w:rsidRPr="006A55C8">
        <w:rPr>
          <w:rFonts w:ascii="Times New Roman" w:hAnsi="Times New Roman" w:cs="Times New Roman"/>
          <w:bCs/>
          <w:sz w:val="18"/>
          <w:szCs w:val="18"/>
        </w:rPr>
        <w:t xml:space="preserve"> olmuş hastalarda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13)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yetişkin hastalarda platin bazlı ikili kemoterapi ile kombinasyon halinde maksimum 3 kür olacak şekilde </w:t>
      </w:r>
      <w:proofErr w:type="spellStart"/>
      <w:r w:rsidRPr="006A55C8">
        <w:rPr>
          <w:rFonts w:ascii="Times New Roman" w:hAnsi="Times New Roman" w:cs="Times New Roman"/>
          <w:bCs/>
          <w:sz w:val="18"/>
          <w:szCs w:val="18"/>
        </w:rPr>
        <w:t>rezeke</w:t>
      </w:r>
      <w:proofErr w:type="spellEnd"/>
      <w:r w:rsidRPr="006A55C8">
        <w:rPr>
          <w:rFonts w:ascii="Times New Roman" w:hAnsi="Times New Roman" w:cs="Times New Roman"/>
          <w:bCs/>
          <w:sz w:val="18"/>
          <w:szCs w:val="18"/>
        </w:rPr>
        <w:t xml:space="preserve"> edilebilir, PD-L1 ≥%1 ve evre 3A küçük hücreli dışı akciğer kanserinin </w:t>
      </w:r>
      <w:proofErr w:type="spellStart"/>
      <w:r w:rsidRPr="006A55C8">
        <w:rPr>
          <w:rFonts w:ascii="Times New Roman" w:hAnsi="Times New Roman" w:cs="Times New Roman"/>
          <w:bCs/>
          <w:sz w:val="18"/>
          <w:szCs w:val="18"/>
        </w:rPr>
        <w:t>neoadjuvan</w:t>
      </w:r>
      <w:proofErr w:type="spellEnd"/>
      <w:r w:rsidRPr="006A55C8">
        <w:rPr>
          <w:rFonts w:ascii="Times New Roman" w:hAnsi="Times New Roman" w:cs="Times New Roman"/>
          <w:bCs/>
          <w:sz w:val="18"/>
          <w:szCs w:val="18"/>
        </w:rPr>
        <w:t xml:space="preserve"> tedavisinde kullanılması halinde bedeli Kurumca karşılanır. Yassı hücreli olmayan (</w:t>
      </w:r>
      <w:proofErr w:type="spellStart"/>
      <w:r w:rsidRPr="006A55C8">
        <w:rPr>
          <w:rFonts w:ascii="Times New Roman" w:hAnsi="Times New Roman" w:cs="Times New Roman"/>
          <w:bCs/>
          <w:sz w:val="18"/>
          <w:szCs w:val="18"/>
        </w:rPr>
        <w:t>non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küçük hücreli dışı akciğer kanserinde EGFR, ALK, ROS mutasyonu bulunmadığı raporda belirtilmelidir. Yassı hücreli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küçük hücreli dışı akciğer kanserinde EGFR, ALK, ROS mutasyon testi yapılması şartı aranmaz.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14)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ECOG performans skoru 0-1 olan ve </w:t>
      </w:r>
      <w:proofErr w:type="spellStart"/>
      <w:r w:rsidRPr="006A55C8">
        <w:rPr>
          <w:rFonts w:ascii="Times New Roman" w:hAnsi="Times New Roman" w:cs="Times New Roman"/>
          <w:bCs/>
          <w:sz w:val="18"/>
          <w:szCs w:val="18"/>
        </w:rPr>
        <w:t>semptomatik</w:t>
      </w:r>
      <w:proofErr w:type="spellEnd"/>
      <w:r w:rsidRPr="006A55C8">
        <w:rPr>
          <w:rFonts w:ascii="Times New Roman" w:hAnsi="Times New Roman" w:cs="Times New Roman"/>
          <w:bCs/>
          <w:sz w:val="18"/>
          <w:szCs w:val="18"/>
        </w:rPr>
        <w:t xml:space="preserve"> beyin metastazı olmayan, daha önce bir basamak kemoterapi tedavisi almış ve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gelişmiş olan lokal ileri veya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 olan hastaların tedavisinde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w:t>
      </w:r>
      <w:proofErr w:type="spellStart"/>
      <w:r w:rsidRPr="006A55C8">
        <w:rPr>
          <w:rFonts w:ascii="Times New Roman" w:hAnsi="Times New Roman" w:cs="Times New Roman"/>
          <w:bCs/>
          <w:sz w:val="18"/>
          <w:szCs w:val="18"/>
        </w:rPr>
        <w:t>progresyona</w:t>
      </w:r>
      <w:proofErr w:type="spellEnd"/>
      <w:r w:rsidRPr="006A55C8">
        <w:rPr>
          <w:rFonts w:ascii="Times New Roman" w:hAnsi="Times New Roman" w:cs="Times New Roman"/>
          <w:bCs/>
          <w:sz w:val="18"/>
          <w:szCs w:val="18"/>
        </w:rPr>
        <w:t xml:space="preserve"> kadar kullanılması halinde bedeli Kurumca karşılanır. Yassı hücreli olmayan (</w:t>
      </w:r>
      <w:proofErr w:type="spellStart"/>
      <w:r w:rsidRPr="006A55C8">
        <w:rPr>
          <w:rFonts w:ascii="Times New Roman" w:hAnsi="Times New Roman" w:cs="Times New Roman"/>
          <w:bCs/>
          <w:sz w:val="18"/>
          <w:szCs w:val="18"/>
        </w:rPr>
        <w:t>non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kanserinde EGFR, ALK, ROS mutasyonu bulunmadığı raporda belirtilmelidir. Yassı hücreli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küçük hücreli dışı akciğer kanserinde EGFR, ALK, ROS mutasyonu testi yapılması şartı aranmaz. Bu hastaların tedavisinde tedavi öncesi veya sonrasında başka bir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kullanılamaz. </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15) </w:t>
      </w:r>
      <w:proofErr w:type="spellStart"/>
      <w:r w:rsidRPr="006A55C8">
        <w:rPr>
          <w:rFonts w:ascii="Times New Roman" w:hAnsi="Times New Roman" w:cs="Times New Roman"/>
          <w:bCs/>
          <w:sz w:val="18"/>
          <w:szCs w:val="18"/>
        </w:rPr>
        <w:t>Nivolumab</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ipilimumab</w:t>
      </w:r>
      <w:proofErr w:type="spellEnd"/>
      <w:r w:rsidRPr="006A55C8">
        <w:rPr>
          <w:rFonts w:ascii="Times New Roman" w:hAnsi="Times New Roman" w:cs="Times New Roman"/>
          <w:bCs/>
          <w:sz w:val="18"/>
          <w:szCs w:val="18"/>
        </w:rPr>
        <w:t xml:space="preserve">; 2 kür platin bazlı kemoterapi ile kombinasyon halinde PD-L1 ekspresyonu &lt;%50 (%0-%49) olan, ECOG performans durumu 0-1 olan, yeterli kardiyak, </w:t>
      </w:r>
      <w:proofErr w:type="spellStart"/>
      <w:r w:rsidRPr="006A55C8">
        <w:rPr>
          <w:rFonts w:ascii="Times New Roman" w:hAnsi="Times New Roman" w:cs="Times New Roman"/>
          <w:bCs/>
          <w:sz w:val="18"/>
          <w:szCs w:val="18"/>
        </w:rPr>
        <w:t>renal</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hepatik</w:t>
      </w:r>
      <w:proofErr w:type="spellEnd"/>
      <w:r w:rsidRPr="006A55C8">
        <w:rPr>
          <w:rFonts w:ascii="Times New Roman" w:hAnsi="Times New Roman" w:cs="Times New Roman"/>
          <w:bCs/>
          <w:sz w:val="18"/>
          <w:szCs w:val="18"/>
        </w:rPr>
        <w:t xml:space="preserve"> fonksiyonları bulunan, aktif beyin metastazı olmayan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 olan yetişkin hastaların birinci basamak tedavisinde kullanılması halinde bedeli Kurumca karşılanır. Yassı hücreli olmayan (</w:t>
      </w:r>
      <w:proofErr w:type="spellStart"/>
      <w:r w:rsidRPr="006A55C8">
        <w:rPr>
          <w:rFonts w:ascii="Times New Roman" w:hAnsi="Times New Roman" w:cs="Times New Roman"/>
          <w:bCs/>
          <w:sz w:val="18"/>
          <w:szCs w:val="18"/>
        </w:rPr>
        <w:t>non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kanserinde EGFR, ALK, ROS mutasyonu bulunmadığı raporda belirtilmelidir. Yassı hücreli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küçük hücreli dışı akciğer kanserinde EGFR, ALK, ROS mutasyon testi yapılması şartı aranmaz. Doku yetersizliği nedeniyle PD-L1 düzeyinin çalışılamadığı ilaç kullanım raporunda belirtilen hastalarda PD-L1 düzeyi şartı aranmaz. Hastalık </w:t>
      </w:r>
      <w:proofErr w:type="spellStart"/>
      <w:r w:rsidRPr="006A55C8">
        <w:rPr>
          <w:rFonts w:ascii="Times New Roman" w:hAnsi="Times New Roman" w:cs="Times New Roman"/>
          <w:bCs/>
          <w:sz w:val="18"/>
          <w:szCs w:val="18"/>
        </w:rPr>
        <w:t>progresyonuna</w:t>
      </w:r>
      <w:proofErr w:type="spellEnd"/>
      <w:r w:rsidRPr="006A55C8">
        <w:rPr>
          <w:rFonts w:ascii="Times New Roman" w:hAnsi="Times New Roman" w:cs="Times New Roman"/>
          <w:bCs/>
          <w:sz w:val="18"/>
          <w:szCs w:val="18"/>
        </w:rPr>
        <w:t xml:space="preserve">, kabul edilemez </w:t>
      </w:r>
      <w:proofErr w:type="spellStart"/>
      <w:r w:rsidRPr="006A55C8">
        <w:rPr>
          <w:rFonts w:ascii="Times New Roman" w:hAnsi="Times New Roman" w:cs="Times New Roman"/>
          <w:bCs/>
          <w:sz w:val="18"/>
          <w:szCs w:val="18"/>
        </w:rPr>
        <w:t>toksisiteye</w:t>
      </w:r>
      <w:proofErr w:type="spellEnd"/>
      <w:r w:rsidRPr="006A55C8">
        <w:rPr>
          <w:rFonts w:ascii="Times New Roman" w:hAnsi="Times New Roman" w:cs="Times New Roman"/>
          <w:bCs/>
          <w:sz w:val="18"/>
          <w:szCs w:val="18"/>
        </w:rPr>
        <w:t xml:space="preserve"> veya hastalık </w:t>
      </w:r>
      <w:proofErr w:type="spellStart"/>
      <w:r w:rsidRPr="006A55C8">
        <w:rPr>
          <w:rFonts w:ascii="Times New Roman" w:hAnsi="Times New Roman" w:cs="Times New Roman"/>
          <w:bCs/>
          <w:sz w:val="18"/>
          <w:szCs w:val="18"/>
        </w:rPr>
        <w:t>progresyonu</w:t>
      </w:r>
      <w:proofErr w:type="spellEnd"/>
      <w:r w:rsidRPr="006A55C8">
        <w:rPr>
          <w:rFonts w:ascii="Times New Roman" w:hAnsi="Times New Roman" w:cs="Times New Roman"/>
          <w:bCs/>
          <w:sz w:val="18"/>
          <w:szCs w:val="18"/>
        </w:rPr>
        <w:t xml:space="preserve"> olmayan hastalarda en fazla 24 aya kadar kullanılması halinde bedeli Kurumca karşılanır. </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kullanan hastalarda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tekrar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hastalarda diğer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ajanları kullanılması halinde bedeli Kurumca karşılanmaz.</w:t>
      </w:r>
    </w:p>
    <w:p w:rsidR="001611E3" w:rsidRPr="00CA206D" w:rsidRDefault="001611E3" w:rsidP="001611E3">
      <w:pPr>
        <w:tabs>
          <w:tab w:val="left" w:pos="709"/>
          <w:tab w:val="left" w:pos="3342"/>
        </w:tabs>
        <w:spacing w:after="0" w:line="240" w:lineRule="auto"/>
        <w:ind w:firstLine="709"/>
        <w:jc w:val="both"/>
        <w:rPr>
          <w:rFonts w:ascii="Times New Roman" w:hAnsi="Times New Roman" w:cs="Times New Roman"/>
          <w:b/>
          <w:bCs/>
          <w:sz w:val="18"/>
          <w:szCs w:val="18"/>
        </w:rPr>
      </w:pPr>
      <w:r w:rsidRPr="00CA206D">
        <w:rPr>
          <w:rFonts w:ascii="Times New Roman" w:hAnsi="Times New Roman" w:cs="Times New Roman"/>
          <w:b/>
          <w:bCs/>
          <w:sz w:val="18"/>
          <w:szCs w:val="18"/>
        </w:rPr>
        <w:t xml:space="preserve">b) </w:t>
      </w:r>
      <w:proofErr w:type="spellStart"/>
      <w:r w:rsidRPr="00CA206D">
        <w:rPr>
          <w:rFonts w:ascii="Times New Roman" w:hAnsi="Times New Roman" w:cs="Times New Roman"/>
          <w:b/>
          <w:bCs/>
          <w:sz w:val="18"/>
          <w:szCs w:val="18"/>
        </w:rPr>
        <w:t>Pembrolizumab</w:t>
      </w:r>
      <w:proofErr w:type="spellEnd"/>
      <w:r w:rsidRPr="00CA206D">
        <w:rPr>
          <w:rFonts w:ascii="Times New Roman" w:hAnsi="Times New Roman" w:cs="Times New Roman"/>
          <w:b/>
          <w:bCs/>
          <w:sz w:val="18"/>
          <w:szCs w:val="18"/>
        </w:rPr>
        <w:t xml:space="preserve">; </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1)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PD-L1 ekspresyonu &lt;%50 (%0-%49) olan, ECOG performans skoru 0-1 olan, yeterli kardiyak, </w:t>
      </w:r>
      <w:proofErr w:type="spellStart"/>
      <w:r w:rsidRPr="006A55C8">
        <w:rPr>
          <w:rFonts w:ascii="Times New Roman" w:hAnsi="Times New Roman" w:cs="Times New Roman"/>
          <w:bCs/>
          <w:sz w:val="18"/>
          <w:szCs w:val="18"/>
        </w:rPr>
        <w:t>renal</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hepatik</w:t>
      </w:r>
      <w:proofErr w:type="spellEnd"/>
      <w:r w:rsidRPr="006A55C8">
        <w:rPr>
          <w:rFonts w:ascii="Times New Roman" w:hAnsi="Times New Roman" w:cs="Times New Roman"/>
          <w:bCs/>
          <w:sz w:val="18"/>
          <w:szCs w:val="18"/>
        </w:rPr>
        <w:t xml:space="preserve"> fonksiyonları bulunan, aktif beyin metastazı olmayan, EGFR, ALK, ROS mutasyonları bulunmayan ve eş zamanlı </w:t>
      </w:r>
      <w:proofErr w:type="spellStart"/>
      <w:r w:rsidRPr="006A55C8">
        <w:rPr>
          <w:rFonts w:ascii="Times New Roman" w:hAnsi="Times New Roman" w:cs="Times New Roman"/>
          <w:bCs/>
          <w:sz w:val="18"/>
          <w:szCs w:val="18"/>
        </w:rPr>
        <w:t>immünsüpresif</w:t>
      </w:r>
      <w:proofErr w:type="spellEnd"/>
      <w:r w:rsidRPr="006A55C8">
        <w:rPr>
          <w:rFonts w:ascii="Times New Roman" w:hAnsi="Times New Roman" w:cs="Times New Roman"/>
          <w:bCs/>
          <w:sz w:val="18"/>
          <w:szCs w:val="18"/>
        </w:rPr>
        <w:t xml:space="preserve"> veya </w:t>
      </w:r>
      <w:proofErr w:type="spellStart"/>
      <w:r w:rsidRPr="006A55C8">
        <w:rPr>
          <w:rFonts w:ascii="Times New Roman" w:hAnsi="Times New Roman" w:cs="Times New Roman"/>
          <w:bCs/>
          <w:sz w:val="18"/>
          <w:szCs w:val="18"/>
        </w:rPr>
        <w:t>kortikosteroid</w:t>
      </w:r>
      <w:proofErr w:type="spellEnd"/>
      <w:r w:rsidRPr="006A55C8">
        <w:rPr>
          <w:rFonts w:ascii="Times New Roman" w:hAnsi="Times New Roman" w:cs="Times New Roman"/>
          <w:bCs/>
          <w:sz w:val="18"/>
          <w:szCs w:val="18"/>
        </w:rPr>
        <w:t xml:space="preserve"> tedavisi almayan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yassı hücreli olmayan (</w:t>
      </w:r>
      <w:proofErr w:type="spellStart"/>
      <w:r w:rsidRPr="006A55C8">
        <w:rPr>
          <w:rFonts w:ascii="Times New Roman" w:hAnsi="Times New Roman" w:cs="Times New Roman"/>
          <w:bCs/>
          <w:sz w:val="18"/>
          <w:szCs w:val="18"/>
        </w:rPr>
        <w:t>non-skuamöz</w:t>
      </w:r>
      <w:proofErr w:type="spellEnd"/>
      <w:r w:rsidRPr="006A55C8">
        <w:rPr>
          <w:rFonts w:ascii="Times New Roman" w:hAnsi="Times New Roman" w:cs="Times New Roman"/>
          <w:bCs/>
          <w:sz w:val="18"/>
          <w:szCs w:val="18"/>
        </w:rPr>
        <w:t xml:space="preserve">) küçük hücreli dışı akciğer kanseri hastalarının birinci basamak tedavisinde kullanılması halinde bedeli Kurumca karşılanır. Tedaviye platin ve </w:t>
      </w:r>
      <w:proofErr w:type="spellStart"/>
      <w:r w:rsidRPr="006A55C8">
        <w:rPr>
          <w:rFonts w:ascii="Times New Roman" w:hAnsi="Times New Roman" w:cs="Times New Roman"/>
          <w:bCs/>
          <w:sz w:val="18"/>
          <w:szCs w:val="18"/>
        </w:rPr>
        <w:t>pemetrekset</w:t>
      </w:r>
      <w:proofErr w:type="spellEnd"/>
      <w:r w:rsidRPr="006A55C8">
        <w:rPr>
          <w:rFonts w:ascii="Times New Roman" w:hAnsi="Times New Roman" w:cs="Times New Roman"/>
          <w:bCs/>
          <w:sz w:val="18"/>
          <w:szCs w:val="18"/>
        </w:rPr>
        <w:t xml:space="preserve"> kemoterapi rejimi ile kombine olarak 4 kür olarak başlanır. Tedavinin devamında </w:t>
      </w:r>
      <w:proofErr w:type="spellStart"/>
      <w:r w:rsidRPr="006A55C8">
        <w:rPr>
          <w:rFonts w:ascii="Times New Roman" w:hAnsi="Times New Roman" w:cs="Times New Roman"/>
          <w:bCs/>
          <w:sz w:val="18"/>
          <w:szCs w:val="18"/>
        </w:rPr>
        <w:t>pemetrekset</w:t>
      </w:r>
      <w:proofErr w:type="spellEnd"/>
      <w:r w:rsidRPr="006A55C8">
        <w:rPr>
          <w:rFonts w:ascii="Times New Roman" w:hAnsi="Times New Roman" w:cs="Times New Roman"/>
          <w:bCs/>
          <w:sz w:val="18"/>
          <w:szCs w:val="18"/>
        </w:rPr>
        <w:t xml:space="preserve"> ile kombine olarak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dozu 3 haftalık </w:t>
      </w:r>
      <w:proofErr w:type="spellStart"/>
      <w:r w:rsidRPr="006A55C8">
        <w:rPr>
          <w:rFonts w:ascii="Times New Roman" w:hAnsi="Times New Roman" w:cs="Times New Roman"/>
          <w:bCs/>
          <w:sz w:val="18"/>
          <w:szCs w:val="18"/>
        </w:rPr>
        <w:t>sikluslarla</w:t>
      </w:r>
      <w:proofErr w:type="spellEnd"/>
      <w:r w:rsidRPr="006A55C8">
        <w:rPr>
          <w:rFonts w:ascii="Times New Roman" w:hAnsi="Times New Roman" w:cs="Times New Roman"/>
          <w:bCs/>
          <w:sz w:val="18"/>
          <w:szCs w:val="18"/>
        </w:rPr>
        <w:t xml:space="preserve"> başlangıç kürleri ile birlikte en fazla 35 kür, 6 haftalık </w:t>
      </w:r>
      <w:proofErr w:type="spellStart"/>
      <w:r w:rsidRPr="006A55C8">
        <w:rPr>
          <w:rFonts w:ascii="Times New Roman" w:hAnsi="Times New Roman" w:cs="Times New Roman"/>
          <w:bCs/>
          <w:sz w:val="18"/>
          <w:szCs w:val="18"/>
        </w:rPr>
        <w:t>sikluslarla</w:t>
      </w:r>
      <w:proofErr w:type="spellEnd"/>
      <w:r w:rsidRPr="006A55C8">
        <w:rPr>
          <w:rFonts w:ascii="Times New Roman" w:hAnsi="Times New Roman" w:cs="Times New Roman"/>
          <w:bCs/>
          <w:sz w:val="18"/>
          <w:szCs w:val="18"/>
        </w:rPr>
        <w:t xml:space="preserve"> başlangıç kürleri ile birlikte en fazla 17 kür kullanılması halinde bedeli Kurumca karşılanır. Doku yetersizliği nedeniyle PD-L1 düzeyinin çalışılamadığı ilaç kullanım raporunda belirtilen hastalarda PD-L1 düzeyi şartı aranmaz. </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kullanan hastalarda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tekrar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hastalarda diğer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ajanları kullanılması halinde bedeli Kurumca karşılanmaz. </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2)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PD-L1 ekspresyonu &lt;%50 (%0-%49) olan, ECOG performans skoru 0-1 olan, yeterli kardiyak, </w:t>
      </w:r>
      <w:proofErr w:type="spellStart"/>
      <w:r w:rsidRPr="006A55C8">
        <w:rPr>
          <w:rFonts w:ascii="Times New Roman" w:hAnsi="Times New Roman" w:cs="Times New Roman"/>
          <w:bCs/>
          <w:sz w:val="18"/>
          <w:szCs w:val="18"/>
        </w:rPr>
        <w:t>renal</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hepatik</w:t>
      </w:r>
      <w:proofErr w:type="spellEnd"/>
      <w:r w:rsidRPr="006A55C8">
        <w:rPr>
          <w:rFonts w:ascii="Times New Roman" w:hAnsi="Times New Roman" w:cs="Times New Roman"/>
          <w:bCs/>
          <w:sz w:val="18"/>
          <w:szCs w:val="18"/>
        </w:rPr>
        <w:t xml:space="preserve"> fonksiyonları bulunan, aktif beyin metastazı olmayan, eş zamanlı </w:t>
      </w:r>
      <w:proofErr w:type="spellStart"/>
      <w:r w:rsidRPr="006A55C8">
        <w:rPr>
          <w:rFonts w:ascii="Times New Roman" w:hAnsi="Times New Roman" w:cs="Times New Roman"/>
          <w:bCs/>
          <w:sz w:val="18"/>
          <w:szCs w:val="18"/>
        </w:rPr>
        <w:t>immünsüpresif</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kortikosteroid</w:t>
      </w:r>
      <w:proofErr w:type="spellEnd"/>
      <w:r w:rsidRPr="006A55C8">
        <w:rPr>
          <w:rFonts w:ascii="Times New Roman" w:hAnsi="Times New Roman" w:cs="Times New Roman"/>
          <w:bCs/>
          <w:sz w:val="18"/>
          <w:szCs w:val="18"/>
        </w:rPr>
        <w:t xml:space="preserve"> tedavisi almayan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yassı hücreli (</w:t>
      </w:r>
      <w:proofErr w:type="spellStart"/>
      <w:r w:rsidRPr="006A55C8">
        <w:rPr>
          <w:rFonts w:ascii="Times New Roman" w:hAnsi="Times New Roman" w:cs="Times New Roman"/>
          <w:bCs/>
          <w:sz w:val="18"/>
          <w:szCs w:val="18"/>
        </w:rPr>
        <w:t>skuamöz</w:t>
      </w:r>
      <w:proofErr w:type="spellEnd"/>
      <w:r w:rsidRPr="006A55C8">
        <w:rPr>
          <w:rFonts w:ascii="Times New Roman" w:hAnsi="Times New Roman" w:cs="Times New Roman"/>
          <w:bCs/>
          <w:sz w:val="18"/>
          <w:szCs w:val="18"/>
        </w:rPr>
        <w:t xml:space="preserve">) küçük hücreli dışı akciğer kanseri hastalarının birinci basamak tedavisinde </w:t>
      </w:r>
      <w:r w:rsidRPr="006A55C8">
        <w:rPr>
          <w:rFonts w:ascii="Times New Roman" w:hAnsi="Times New Roman" w:cs="Times New Roman"/>
          <w:bCs/>
          <w:sz w:val="18"/>
          <w:szCs w:val="18"/>
        </w:rPr>
        <w:lastRenderedPageBreak/>
        <w:t xml:space="preserve">kullanılması halinde bedeli Kurumca karşılanır. Tedaviye </w:t>
      </w:r>
      <w:proofErr w:type="spellStart"/>
      <w:r w:rsidRPr="006A55C8">
        <w:rPr>
          <w:rFonts w:ascii="Times New Roman" w:hAnsi="Times New Roman" w:cs="Times New Roman"/>
          <w:bCs/>
          <w:sz w:val="18"/>
          <w:szCs w:val="18"/>
        </w:rPr>
        <w:t>karboplatin</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paklitaksel</w:t>
      </w:r>
      <w:proofErr w:type="spellEnd"/>
      <w:r w:rsidRPr="006A55C8">
        <w:rPr>
          <w:rFonts w:ascii="Times New Roman" w:hAnsi="Times New Roman" w:cs="Times New Roman"/>
          <w:bCs/>
          <w:sz w:val="18"/>
          <w:szCs w:val="18"/>
        </w:rPr>
        <w:t xml:space="preserve"> kemoterapi rejimi ile kombine olarak 4 kür olarak başlanır. Tedavinin devamında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dozu 3 haftalık </w:t>
      </w:r>
      <w:proofErr w:type="spellStart"/>
      <w:r w:rsidRPr="006A55C8">
        <w:rPr>
          <w:rFonts w:ascii="Times New Roman" w:hAnsi="Times New Roman" w:cs="Times New Roman"/>
          <w:bCs/>
          <w:sz w:val="18"/>
          <w:szCs w:val="18"/>
        </w:rPr>
        <w:t>sikluslarla</w:t>
      </w:r>
      <w:proofErr w:type="spellEnd"/>
      <w:r w:rsidRPr="006A55C8">
        <w:rPr>
          <w:rFonts w:ascii="Times New Roman" w:hAnsi="Times New Roman" w:cs="Times New Roman"/>
          <w:bCs/>
          <w:sz w:val="18"/>
          <w:szCs w:val="18"/>
        </w:rPr>
        <w:t xml:space="preserve"> başlangıç kürleri ile birlikte en fazla 35 kür, 6 haftalık </w:t>
      </w:r>
      <w:proofErr w:type="spellStart"/>
      <w:r w:rsidRPr="006A55C8">
        <w:rPr>
          <w:rFonts w:ascii="Times New Roman" w:hAnsi="Times New Roman" w:cs="Times New Roman"/>
          <w:bCs/>
          <w:sz w:val="18"/>
          <w:szCs w:val="18"/>
        </w:rPr>
        <w:t>sikluslarla</w:t>
      </w:r>
      <w:proofErr w:type="spellEnd"/>
      <w:r w:rsidRPr="006A55C8">
        <w:rPr>
          <w:rFonts w:ascii="Times New Roman" w:hAnsi="Times New Roman" w:cs="Times New Roman"/>
          <w:bCs/>
          <w:sz w:val="18"/>
          <w:szCs w:val="18"/>
        </w:rPr>
        <w:t xml:space="preserve"> başlangıç kürleri ile birlikte en fazla 17 kür kullanılması halinde bedeli Kurumca karşılanır. Doku yetersizliği nedeniyle PD-L1 düzeyinin çalışılamadığı ilaç kullanım raporunda belirtilen hastalarda PD-L1 düzeyi şartı aranmaz. </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kullanan hastalarda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tekrar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hastalarda diğer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ajanları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3)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ECOG performans skoru 0-1 olan, yeterli kardiyak, </w:t>
      </w:r>
      <w:proofErr w:type="spellStart"/>
      <w:r w:rsidRPr="006A55C8">
        <w:rPr>
          <w:rFonts w:ascii="Times New Roman" w:hAnsi="Times New Roman" w:cs="Times New Roman"/>
          <w:bCs/>
          <w:sz w:val="18"/>
          <w:szCs w:val="18"/>
        </w:rPr>
        <w:t>renal</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hepatik</w:t>
      </w:r>
      <w:proofErr w:type="spellEnd"/>
      <w:r w:rsidRPr="006A55C8">
        <w:rPr>
          <w:rFonts w:ascii="Times New Roman" w:hAnsi="Times New Roman" w:cs="Times New Roman"/>
          <w:bCs/>
          <w:sz w:val="18"/>
          <w:szCs w:val="18"/>
        </w:rPr>
        <w:t xml:space="preserve"> fonksiyonları bulunan, aktif beyin metastazı olmayan, eş zamanlı </w:t>
      </w:r>
      <w:proofErr w:type="spellStart"/>
      <w:r w:rsidRPr="006A55C8">
        <w:rPr>
          <w:rFonts w:ascii="Times New Roman" w:hAnsi="Times New Roman" w:cs="Times New Roman"/>
          <w:bCs/>
          <w:sz w:val="18"/>
          <w:szCs w:val="18"/>
        </w:rPr>
        <w:t>immunsupresif</w:t>
      </w:r>
      <w:proofErr w:type="spellEnd"/>
      <w:r w:rsidRPr="006A55C8">
        <w:rPr>
          <w:rFonts w:ascii="Times New Roman" w:hAnsi="Times New Roman" w:cs="Times New Roman"/>
          <w:bCs/>
          <w:sz w:val="18"/>
          <w:szCs w:val="18"/>
        </w:rPr>
        <w:t xml:space="preserve"> veya </w:t>
      </w:r>
      <w:proofErr w:type="spellStart"/>
      <w:r w:rsidRPr="006A55C8">
        <w:rPr>
          <w:rFonts w:ascii="Times New Roman" w:hAnsi="Times New Roman" w:cs="Times New Roman"/>
          <w:bCs/>
          <w:sz w:val="18"/>
          <w:szCs w:val="18"/>
        </w:rPr>
        <w:t>kortikosteroid</w:t>
      </w:r>
      <w:proofErr w:type="spellEnd"/>
      <w:r w:rsidRPr="006A55C8">
        <w:rPr>
          <w:rFonts w:ascii="Times New Roman" w:hAnsi="Times New Roman" w:cs="Times New Roman"/>
          <w:bCs/>
          <w:sz w:val="18"/>
          <w:szCs w:val="18"/>
        </w:rPr>
        <w:t xml:space="preserve"> tedavisi almayan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kanserinde, PD-L1 ekspresyonu %50 ve üzerinde olan hastaların birinci basamak tedavisinde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kullanılması halinde bedeli Kurumca karşılanır. Yassı hücreli olmayan (</w:t>
      </w:r>
      <w:proofErr w:type="spellStart"/>
      <w:r w:rsidRPr="006A55C8">
        <w:rPr>
          <w:rFonts w:ascii="Times New Roman" w:hAnsi="Times New Roman" w:cs="Times New Roman"/>
          <w:bCs/>
          <w:sz w:val="18"/>
          <w:szCs w:val="18"/>
        </w:rPr>
        <w:t>non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kanserinde EGFR, ALK, ROS mutasyonu bulunmadığı raporda belirtilmelidir. Yassı hücreli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küçük hücreli dışı akciğer kanserinde EGFR, ALK, ROS mutasyonu testi yapılması şartı aranmaz. Tedaviye, kabul edilemez </w:t>
      </w:r>
      <w:proofErr w:type="spellStart"/>
      <w:r w:rsidRPr="006A55C8">
        <w:rPr>
          <w:rFonts w:ascii="Times New Roman" w:hAnsi="Times New Roman" w:cs="Times New Roman"/>
          <w:bCs/>
          <w:sz w:val="18"/>
          <w:szCs w:val="18"/>
        </w:rPr>
        <w:t>toksisiteye</w:t>
      </w:r>
      <w:proofErr w:type="spellEnd"/>
      <w:r w:rsidRPr="006A55C8">
        <w:rPr>
          <w:rFonts w:ascii="Times New Roman" w:hAnsi="Times New Roman" w:cs="Times New Roman"/>
          <w:bCs/>
          <w:sz w:val="18"/>
          <w:szCs w:val="18"/>
        </w:rPr>
        <w:t xml:space="preserve"> veya hastalık </w:t>
      </w:r>
      <w:proofErr w:type="spellStart"/>
      <w:r w:rsidRPr="006A55C8">
        <w:rPr>
          <w:rFonts w:ascii="Times New Roman" w:hAnsi="Times New Roman" w:cs="Times New Roman"/>
          <w:bCs/>
          <w:sz w:val="18"/>
          <w:szCs w:val="18"/>
        </w:rPr>
        <w:t>progresyonuna</w:t>
      </w:r>
      <w:proofErr w:type="spellEnd"/>
      <w:r w:rsidRPr="006A55C8">
        <w:rPr>
          <w:rFonts w:ascii="Times New Roman" w:hAnsi="Times New Roman" w:cs="Times New Roman"/>
          <w:bCs/>
          <w:sz w:val="18"/>
          <w:szCs w:val="18"/>
        </w:rPr>
        <w:t xml:space="preserve"> kadar, hastalık </w:t>
      </w:r>
      <w:proofErr w:type="spellStart"/>
      <w:r w:rsidRPr="006A55C8">
        <w:rPr>
          <w:rFonts w:ascii="Times New Roman" w:hAnsi="Times New Roman" w:cs="Times New Roman"/>
          <w:bCs/>
          <w:sz w:val="18"/>
          <w:szCs w:val="18"/>
        </w:rPr>
        <w:t>progresyonu</w:t>
      </w:r>
      <w:proofErr w:type="spellEnd"/>
      <w:r w:rsidRPr="006A55C8">
        <w:rPr>
          <w:rFonts w:ascii="Times New Roman" w:hAnsi="Times New Roman" w:cs="Times New Roman"/>
          <w:bCs/>
          <w:sz w:val="18"/>
          <w:szCs w:val="18"/>
        </w:rPr>
        <w:t xml:space="preserve"> olmayan hastalarda 3 haftalık </w:t>
      </w:r>
      <w:proofErr w:type="spellStart"/>
      <w:r w:rsidRPr="006A55C8">
        <w:rPr>
          <w:rFonts w:ascii="Times New Roman" w:hAnsi="Times New Roman" w:cs="Times New Roman"/>
          <w:bCs/>
          <w:sz w:val="18"/>
          <w:szCs w:val="18"/>
        </w:rPr>
        <w:t>sikluslarla</w:t>
      </w:r>
      <w:proofErr w:type="spellEnd"/>
      <w:r w:rsidRPr="006A55C8">
        <w:rPr>
          <w:rFonts w:ascii="Times New Roman" w:hAnsi="Times New Roman" w:cs="Times New Roman"/>
          <w:bCs/>
          <w:sz w:val="18"/>
          <w:szCs w:val="18"/>
        </w:rPr>
        <w:t xml:space="preserve"> en fazla 35 küre kadar, 6 haftalık </w:t>
      </w:r>
      <w:proofErr w:type="spellStart"/>
      <w:r w:rsidRPr="006A55C8">
        <w:rPr>
          <w:rFonts w:ascii="Times New Roman" w:hAnsi="Times New Roman" w:cs="Times New Roman"/>
          <w:bCs/>
          <w:sz w:val="18"/>
          <w:szCs w:val="18"/>
        </w:rPr>
        <w:t>sikluslarla</w:t>
      </w:r>
      <w:proofErr w:type="spellEnd"/>
      <w:r w:rsidRPr="006A55C8">
        <w:rPr>
          <w:rFonts w:ascii="Times New Roman" w:hAnsi="Times New Roman" w:cs="Times New Roman"/>
          <w:bCs/>
          <w:sz w:val="18"/>
          <w:szCs w:val="18"/>
        </w:rPr>
        <w:t xml:space="preserve"> en fazla 17 küre kadar devam edilmesi halinde bedeli Kurumca karşılanır. </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kullanan hastalarda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tekrar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hastalarda diğer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ajanları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4)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ECOG performans skoru 0-1, yüksek </w:t>
      </w:r>
      <w:proofErr w:type="spellStart"/>
      <w:r w:rsidRPr="006A55C8">
        <w:rPr>
          <w:rFonts w:ascii="Times New Roman" w:hAnsi="Times New Roman" w:cs="Times New Roman"/>
          <w:bCs/>
          <w:sz w:val="18"/>
          <w:szCs w:val="18"/>
        </w:rPr>
        <w:t>nüks</w:t>
      </w:r>
      <w:proofErr w:type="spellEnd"/>
      <w:r w:rsidRPr="006A55C8">
        <w:rPr>
          <w:rFonts w:ascii="Times New Roman" w:hAnsi="Times New Roman" w:cs="Times New Roman"/>
          <w:bCs/>
          <w:sz w:val="18"/>
          <w:szCs w:val="18"/>
        </w:rPr>
        <w:t xml:space="preserve"> riski olan (tümör boyutu ≥2 cm veya </w:t>
      </w:r>
      <w:proofErr w:type="spellStart"/>
      <w:r w:rsidRPr="006A55C8">
        <w:rPr>
          <w:rFonts w:ascii="Times New Roman" w:hAnsi="Times New Roman" w:cs="Times New Roman"/>
          <w:bCs/>
          <w:sz w:val="18"/>
          <w:szCs w:val="18"/>
        </w:rPr>
        <w:t>aksiller</w:t>
      </w:r>
      <w:proofErr w:type="spellEnd"/>
      <w:r w:rsidRPr="006A55C8">
        <w:rPr>
          <w:rFonts w:ascii="Times New Roman" w:hAnsi="Times New Roman" w:cs="Times New Roman"/>
          <w:bCs/>
          <w:sz w:val="18"/>
          <w:szCs w:val="18"/>
        </w:rPr>
        <w:t xml:space="preserve"> lenf bezi pozitif) lokal ileri/erken evre üçlü negatif meme kanserli yetişkinlerin tedavisinde </w:t>
      </w:r>
      <w:proofErr w:type="spellStart"/>
      <w:r w:rsidRPr="006A55C8">
        <w:rPr>
          <w:rFonts w:ascii="Times New Roman" w:hAnsi="Times New Roman" w:cs="Times New Roman"/>
          <w:bCs/>
          <w:sz w:val="18"/>
          <w:szCs w:val="18"/>
        </w:rPr>
        <w:t>neoadjuvan</w:t>
      </w:r>
      <w:proofErr w:type="spellEnd"/>
      <w:r w:rsidRPr="006A55C8">
        <w:rPr>
          <w:rFonts w:ascii="Times New Roman" w:hAnsi="Times New Roman" w:cs="Times New Roman"/>
          <w:bCs/>
          <w:sz w:val="18"/>
          <w:szCs w:val="18"/>
        </w:rPr>
        <w:t xml:space="preserve"> tedavi olarak </w:t>
      </w:r>
      <w:proofErr w:type="spellStart"/>
      <w:r w:rsidRPr="006A55C8">
        <w:rPr>
          <w:rFonts w:ascii="Times New Roman" w:hAnsi="Times New Roman" w:cs="Times New Roman"/>
          <w:bCs/>
          <w:sz w:val="18"/>
          <w:szCs w:val="18"/>
        </w:rPr>
        <w:t>antrasiklin</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karboplatinli</w:t>
      </w:r>
      <w:proofErr w:type="spellEnd"/>
      <w:r w:rsidRPr="006A55C8">
        <w:rPr>
          <w:rFonts w:ascii="Times New Roman" w:hAnsi="Times New Roman" w:cs="Times New Roman"/>
          <w:bCs/>
          <w:sz w:val="18"/>
          <w:szCs w:val="18"/>
        </w:rPr>
        <w:t xml:space="preserve"> kemoterapi ile kombine olarak kullanılması halinde bedeli Kurumca karşılanır.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neoadjuvan</w:t>
      </w:r>
      <w:proofErr w:type="spellEnd"/>
      <w:r w:rsidRPr="006A55C8">
        <w:rPr>
          <w:rFonts w:ascii="Times New Roman" w:hAnsi="Times New Roman" w:cs="Times New Roman"/>
          <w:bCs/>
          <w:sz w:val="18"/>
          <w:szCs w:val="18"/>
        </w:rPr>
        <w:t xml:space="preserve"> tedavide 3 haftada bir 200 mg 8 kür veya 6 haftada bir 400 mg 4 kür kullanılır. Ardından cerrahi sonrası patolojik tam yanıt alınamayan hastalarda </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tedavide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3 haftada bir 200 mg 9 kür ya da 6 haftada bir 400 mg 5 kür kullanılır. Cerrahi sonrası patolojik tam yanıt (ypT0/</w:t>
      </w:r>
      <w:proofErr w:type="spellStart"/>
      <w:r w:rsidRPr="006A55C8">
        <w:rPr>
          <w:rFonts w:ascii="Times New Roman" w:hAnsi="Times New Roman" w:cs="Times New Roman"/>
          <w:bCs/>
          <w:sz w:val="18"/>
          <w:szCs w:val="18"/>
        </w:rPr>
        <w:t>Tis</w:t>
      </w:r>
      <w:proofErr w:type="spellEnd"/>
      <w:r w:rsidRPr="006A55C8">
        <w:rPr>
          <w:rFonts w:ascii="Times New Roman" w:hAnsi="Times New Roman" w:cs="Times New Roman"/>
          <w:bCs/>
          <w:sz w:val="18"/>
          <w:szCs w:val="18"/>
        </w:rPr>
        <w:t xml:space="preserve">/N0) alınan hastalarda </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tedavide kullanılması halinde bedeli Kurumca karşılanmaz. Toplam tedavi süresi 6 haftada bir kullanım ile en fazla 9 kür, 3 haftada bir kullanım ile en fazla 17 kürdür. Hastalık </w:t>
      </w:r>
      <w:proofErr w:type="spellStart"/>
      <w:r w:rsidRPr="006A55C8">
        <w:rPr>
          <w:rFonts w:ascii="Times New Roman" w:hAnsi="Times New Roman" w:cs="Times New Roman"/>
          <w:bCs/>
          <w:sz w:val="18"/>
          <w:szCs w:val="18"/>
        </w:rPr>
        <w:t>progresyonuna</w:t>
      </w:r>
      <w:proofErr w:type="spellEnd"/>
      <w:r w:rsidRPr="006A55C8">
        <w:rPr>
          <w:rFonts w:ascii="Times New Roman" w:hAnsi="Times New Roman" w:cs="Times New Roman"/>
          <w:bCs/>
          <w:sz w:val="18"/>
          <w:szCs w:val="18"/>
        </w:rPr>
        <w:t xml:space="preserve"> veya </w:t>
      </w:r>
      <w:proofErr w:type="spellStart"/>
      <w:r w:rsidRPr="006A55C8">
        <w:rPr>
          <w:rFonts w:ascii="Times New Roman" w:hAnsi="Times New Roman" w:cs="Times New Roman"/>
          <w:bCs/>
          <w:sz w:val="18"/>
          <w:szCs w:val="18"/>
        </w:rPr>
        <w:t>nüksüne</w:t>
      </w:r>
      <w:proofErr w:type="spellEnd"/>
      <w:r w:rsidRPr="006A55C8">
        <w:rPr>
          <w:rFonts w:ascii="Times New Roman" w:hAnsi="Times New Roman" w:cs="Times New Roman"/>
          <w:bCs/>
          <w:sz w:val="18"/>
          <w:szCs w:val="18"/>
        </w:rPr>
        <w:t xml:space="preserve"> veya kabul edilemez </w:t>
      </w:r>
      <w:proofErr w:type="spellStart"/>
      <w:r w:rsidRPr="006A55C8">
        <w:rPr>
          <w:rFonts w:ascii="Times New Roman" w:hAnsi="Times New Roman" w:cs="Times New Roman"/>
          <w:bCs/>
          <w:sz w:val="18"/>
          <w:szCs w:val="18"/>
        </w:rPr>
        <w:t>toksisiteye</w:t>
      </w:r>
      <w:proofErr w:type="spellEnd"/>
      <w:r w:rsidRPr="006A55C8">
        <w:rPr>
          <w:rFonts w:ascii="Times New Roman" w:hAnsi="Times New Roman" w:cs="Times New Roman"/>
          <w:bCs/>
          <w:sz w:val="18"/>
          <w:szCs w:val="18"/>
        </w:rPr>
        <w:t xml:space="preserve"> kadar tedaviye devam edilir.</w:t>
      </w:r>
      <w:r>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5)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valide edilmiş bir test ile PD-L1(+) CPS ≥ 10 olan,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veya </w:t>
      </w:r>
      <w:proofErr w:type="spellStart"/>
      <w:r w:rsidRPr="006A55C8">
        <w:rPr>
          <w:rFonts w:ascii="Times New Roman" w:hAnsi="Times New Roman" w:cs="Times New Roman"/>
          <w:bCs/>
          <w:sz w:val="18"/>
          <w:szCs w:val="18"/>
        </w:rPr>
        <w:t>rezeke</w:t>
      </w:r>
      <w:proofErr w:type="spellEnd"/>
      <w:r w:rsidRPr="006A55C8">
        <w:rPr>
          <w:rFonts w:ascii="Times New Roman" w:hAnsi="Times New Roman" w:cs="Times New Roman"/>
          <w:bCs/>
          <w:sz w:val="18"/>
          <w:szCs w:val="18"/>
        </w:rPr>
        <w:t xml:space="preserve"> edilemeyen lokal olarak tekrarlamış üçlü negatif meme kanserinin birinci basamak tedavisinde kemoterapi ile kombine olarak kullanılması halinde bedeli Kurumca karşılanır.</w:t>
      </w:r>
      <w:r w:rsidR="0086171F">
        <w:rPr>
          <w:rFonts w:ascii="Times New Roman" w:hAnsi="Times New Roman" w:cs="Times New Roman"/>
          <w:bCs/>
          <w:sz w:val="18"/>
          <w:szCs w:val="18"/>
        </w:rPr>
        <w:t xml:space="preserve"> </w:t>
      </w:r>
      <w:r w:rsidR="0086171F" w:rsidRPr="0086171F">
        <w:rPr>
          <w:rFonts w:ascii="Times New Roman" w:eastAsia="Times New Roman" w:hAnsi="Times New Roman" w:cs="Times New Roman"/>
          <w:bCs/>
          <w:sz w:val="18"/>
          <w:szCs w:val="18"/>
          <w:lang w:eastAsia="tr-TR"/>
        </w:rPr>
        <w:t xml:space="preserve">Hastalar eğer erken evrede </w:t>
      </w:r>
      <w:proofErr w:type="spellStart"/>
      <w:r w:rsidR="0086171F" w:rsidRPr="0086171F">
        <w:rPr>
          <w:rFonts w:ascii="Times New Roman" w:eastAsia="Times New Roman" w:hAnsi="Times New Roman" w:cs="Times New Roman"/>
          <w:bCs/>
          <w:sz w:val="18"/>
          <w:szCs w:val="18"/>
          <w:lang w:eastAsia="tr-TR"/>
        </w:rPr>
        <w:t>adjuvan</w:t>
      </w:r>
      <w:proofErr w:type="spellEnd"/>
      <w:r w:rsidR="0086171F" w:rsidRPr="0086171F">
        <w:rPr>
          <w:rFonts w:ascii="Times New Roman" w:eastAsia="Times New Roman" w:hAnsi="Times New Roman" w:cs="Times New Roman"/>
          <w:bCs/>
          <w:sz w:val="18"/>
          <w:szCs w:val="18"/>
          <w:lang w:eastAsia="tr-TR"/>
        </w:rPr>
        <w:t xml:space="preserve"> kemoterapi almışlarsa en az 6 aylık hastalıksız süre geçmiş olmalıdır.</w:t>
      </w:r>
      <w:r w:rsidRPr="006A55C8">
        <w:rPr>
          <w:rFonts w:ascii="Times New Roman" w:hAnsi="Times New Roman" w:cs="Times New Roman"/>
          <w:bCs/>
          <w:sz w:val="18"/>
          <w:szCs w:val="18"/>
        </w:rPr>
        <w:t xml:space="preserve"> Daha önce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kullanan hastalarda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ile tedavi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6)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veya platin ve 5-florourasil (5-FU) kemoterapisi ile kombinasyon halinde, ECOG performans skoru 0-1 olan, tümörleri kombine pozitif skor (CPS) ≥ %1 ile PD-L1 eksprese eden erişkinlerde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veya </w:t>
      </w:r>
      <w:proofErr w:type="spellStart"/>
      <w:r w:rsidRPr="006A55C8">
        <w:rPr>
          <w:rFonts w:ascii="Times New Roman" w:hAnsi="Times New Roman" w:cs="Times New Roman"/>
          <w:bCs/>
          <w:sz w:val="18"/>
          <w:szCs w:val="18"/>
        </w:rPr>
        <w:t>rezeke</w:t>
      </w:r>
      <w:proofErr w:type="spellEnd"/>
      <w:r w:rsidRPr="006A55C8">
        <w:rPr>
          <w:rFonts w:ascii="Times New Roman" w:hAnsi="Times New Roman" w:cs="Times New Roman"/>
          <w:bCs/>
          <w:sz w:val="18"/>
          <w:szCs w:val="18"/>
        </w:rPr>
        <w:t xml:space="preserve"> edilemeyen tekrarlayan </w:t>
      </w:r>
      <w:proofErr w:type="spellStart"/>
      <w:r w:rsidRPr="006A55C8">
        <w:rPr>
          <w:rFonts w:ascii="Times New Roman" w:hAnsi="Times New Roman" w:cs="Times New Roman"/>
          <w:bCs/>
          <w:sz w:val="18"/>
          <w:szCs w:val="18"/>
        </w:rPr>
        <w:t>nazofarinks</w:t>
      </w:r>
      <w:proofErr w:type="spellEnd"/>
      <w:r w:rsidRPr="006A55C8">
        <w:rPr>
          <w:rFonts w:ascii="Times New Roman" w:hAnsi="Times New Roman" w:cs="Times New Roman"/>
          <w:bCs/>
          <w:sz w:val="18"/>
          <w:szCs w:val="18"/>
        </w:rPr>
        <w:t xml:space="preserve"> dışı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hücreli baş boyun </w:t>
      </w:r>
      <w:proofErr w:type="spellStart"/>
      <w:r w:rsidRPr="006A55C8">
        <w:rPr>
          <w:rFonts w:ascii="Times New Roman" w:hAnsi="Times New Roman" w:cs="Times New Roman"/>
          <w:bCs/>
          <w:sz w:val="18"/>
          <w:szCs w:val="18"/>
        </w:rPr>
        <w:t>karsinomu</w:t>
      </w:r>
      <w:proofErr w:type="spellEnd"/>
      <w:r w:rsidRPr="006A55C8">
        <w:rPr>
          <w:rFonts w:ascii="Times New Roman" w:hAnsi="Times New Roman" w:cs="Times New Roman"/>
          <w:bCs/>
          <w:sz w:val="18"/>
          <w:szCs w:val="18"/>
        </w:rPr>
        <w:t xml:space="preserve"> olan hastaların birinci basamak tedavisinde kullanılması halinde bedeli Kurumca karşılanır. Hastalar eğer </w:t>
      </w:r>
      <w:proofErr w:type="spellStart"/>
      <w:r w:rsidRPr="006A55C8">
        <w:rPr>
          <w:rFonts w:ascii="Times New Roman" w:hAnsi="Times New Roman" w:cs="Times New Roman"/>
          <w:bCs/>
          <w:sz w:val="18"/>
          <w:szCs w:val="18"/>
        </w:rPr>
        <w:t>küratif</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kemoradyoterapi</w:t>
      </w:r>
      <w:proofErr w:type="spellEnd"/>
      <w:r w:rsidRPr="006A55C8">
        <w:rPr>
          <w:rFonts w:ascii="Times New Roman" w:hAnsi="Times New Roman" w:cs="Times New Roman"/>
          <w:bCs/>
          <w:sz w:val="18"/>
          <w:szCs w:val="18"/>
        </w:rPr>
        <w:t xml:space="preserve"> almışlarsa </w:t>
      </w:r>
      <w:proofErr w:type="spellStart"/>
      <w:r w:rsidRPr="006A55C8">
        <w:rPr>
          <w:rFonts w:ascii="Times New Roman" w:hAnsi="Times New Roman" w:cs="Times New Roman"/>
          <w:bCs/>
          <w:sz w:val="18"/>
          <w:szCs w:val="18"/>
        </w:rPr>
        <w:t>küratif</w:t>
      </w:r>
      <w:proofErr w:type="spellEnd"/>
      <w:r w:rsidRPr="006A55C8">
        <w:rPr>
          <w:rFonts w:ascii="Times New Roman" w:hAnsi="Times New Roman" w:cs="Times New Roman"/>
          <w:bCs/>
          <w:sz w:val="18"/>
          <w:szCs w:val="18"/>
        </w:rPr>
        <w:t xml:space="preserve"> tedaviden sonra en az 6 aylık hastalıksız süre geçmiş olmalıdır. Hastalık </w:t>
      </w:r>
      <w:proofErr w:type="spellStart"/>
      <w:r w:rsidRPr="006A55C8">
        <w:rPr>
          <w:rFonts w:ascii="Times New Roman" w:hAnsi="Times New Roman" w:cs="Times New Roman"/>
          <w:bCs/>
          <w:sz w:val="18"/>
          <w:szCs w:val="18"/>
        </w:rPr>
        <w:t>progresyonuna</w:t>
      </w:r>
      <w:proofErr w:type="spellEnd"/>
      <w:r w:rsidRPr="006A55C8">
        <w:rPr>
          <w:rFonts w:ascii="Times New Roman" w:hAnsi="Times New Roman" w:cs="Times New Roman"/>
          <w:bCs/>
          <w:sz w:val="18"/>
          <w:szCs w:val="18"/>
        </w:rPr>
        <w:t xml:space="preserve">, kabul edilemez </w:t>
      </w:r>
      <w:proofErr w:type="spellStart"/>
      <w:r w:rsidRPr="006A55C8">
        <w:rPr>
          <w:rFonts w:ascii="Times New Roman" w:hAnsi="Times New Roman" w:cs="Times New Roman"/>
          <w:bCs/>
          <w:sz w:val="18"/>
          <w:szCs w:val="18"/>
        </w:rPr>
        <w:t>toksisiteye</w:t>
      </w:r>
      <w:proofErr w:type="spellEnd"/>
      <w:r w:rsidRPr="006A55C8">
        <w:rPr>
          <w:rFonts w:ascii="Times New Roman" w:hAnsi="Times New Roman" w:cs="Times New Roman"/>
          <w:bCs/>
          <w:sz w:val="18"/>
          <w:szCs w:val="18"/>
        </w:rPr>
        <w:t xml:space="preserve"> veya hastalık </w:t>
      </w:r>
      <w:proofErr w:type="spellStart"/>
      <w:r w:rsidRPr="006A55C8">
        <w:rPr>
          <w:rFonts w:ascii="Times New Roman" w:hAnsi="Times New Roman" w:cs="Times New Roman"/>
          <w:bCs/>
          <w:sz w:val="18"/>
          <w:szCs w:val="18"/>
        </w:rPr>
        <w:t>progresyonu</w:t>
      </w:r>
      <w:proofErr w:type="spellEnd"/>
      <w:r w:rsidRPr="006A55C8">
        <w:rPr>
          <w:rFonts w:ascii="Times New Roman" w:hAnsi="Times New Roman" w:cs="Times New Roman"/>
          <w:bCs/>
          <w:sz w:val="18"/>
          <w:szCs w:val="18"/>
        </w:rPr>
        <w:t xml:space="preserve"> olmayan hastalarda en fazla 24 aya kadar kullanılması halinde bedeli Kurumca karşılanır. </w:t>
      </w:r>
      <w:proofErr w:type="spellStart"/>
      <w:r w:rsidRPr="006A55C8">
        <w:rPr>
          <w:rFonts w:ascii="Times New Roman" w:hAnsi="Times New Roman" w:cs="Times New Roman"/>
          <w:bCs/>
          <w:sz w:val="18"/>
          <w:szCs w:val="18"/>
        </w:rPr>
        <w:t>Pembrolizumab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Pr="00CA206D" w:rsidRDefault="001611E3" w:rsidP="001611E3">
      <w:pPr>
        <w:tabs>
          <w:tab w:val="left" w:pos="709"/>
          <w:tab w:val="left" w:pos="3342"/>
        </w:tabs>
        <w:spacing w:after="0" w:line="240" w:lineRule="auto"/>
        <w:ind w:firstLine="709"/>
        <w:jc w:val="both"/>
        <w:rPr>
          <w:rFonts w:ascii="Times New Roman" w:hAnsi="Times New Roman" w:cs="Times New Roman"/>
          <w:b/>
          <w:bCs/>
          <w:sz w:val="18"/>
          <w:szCs w:val="18"/>
        </w:rPr>
      </w:pPr>
      <w:r w:rsidRPr="00CA206D">
        <w:rPr>
          <w:rFonts w:ascii="Times New Roman" w:hAnsi="Times New Roman" w:cs="Times New Roman"/>
          <w:b/>
          <w:bCs/>
          <w:sz w:val="18"/>
          <w:szCs w:val="18"/>
        </w:rPr>
        <w:t xml:space="preserve">c) </w:t>
      </w:r>
      <w:proofErr w:type="spellStart"/>
      <w:r w:rsidRPr="00CA206D">
        <w:rPr>
          <w:rFonts w:ascii="Times New Roman" w:hAnsi="Times New Roman" w:cs="Times New Roman"/>
          <w:b/>
          <w:bCs/>
          <w:sz w:val="18"/>
          <w:szCs w:val="18"/>
        </w:rPr>
        <w:t>Atezolizumab</w:t>
      </w:r>
      <w:proofErr w:type="spellEnd"/>
      <w:r w:rsidRPr="00CA206D">
        <w:rPr>
          <w:rFonts w:ascii="Times New Roman" w:hAnsi="Times New Roman" w:cs="Times New Roman"/>
          <w:b/>
          <w:bCs/>
          <w:sz w:val="18"/>
          <w:szCs w:val="18"/>
        </w:rPr>
        <w:t>;</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1) </w:t>
      </w:r>
      <w:proofErr w:type="spellStart"/>
      <w:r w:rsidRPr="006A55C8">
        <w:rPr>
          <w:rFonts w:ascii="Times New Roman" w:hAnsi="Times New Roman" w:cs="Times New Roman"/>
          <w:bCs/>
          <w:sz w:val="18"/>
          <w:szCs w:val="18"/>
        </w:rPr>
        <w:t>Atezolizumab</w:t>
      </w:r>
      <w:proofErr w:type="spellEnd"/>
      <w:r w:rsidRPr="006A55C8">
        <w:rPr>
          <w:rFonts w:ascii="Times New Roman" w:hAnsi="Times New Roman" w:cs="Times New Roman"/>
          <w:bCs/>
          <w:sz w:val="18"/>
          <w:szCs w:val="18"/>
        </w:rPr>
        <w:t xml:space="preserve">; PD-L1 ekspresyonu tümör hücrelerinde (TC) ≥ %50 olan, yetişkin Evre II-IIIA (TNM 7’ye göre) küçük hücreli dışı akciğer kanseri hastalarında, rezeksiyonu ve platin bazlı kemoterapiyi takiben, </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tedavide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kullanılması halinde bedeli Kurumca karşılanır. Yassı hücreli olmayan (</w:t>
      </w:r>
      <w:proofErr w:type="spellStart"/>
      <w:r w:rsidRPr="006A55C8">
        <w:rPr>
          <w:rFonts w:ascii="Times New Roman" w:hAnsi="Times New Roman" w:cs="Times New Roman"/>
          <w:bCs/>
          <w:sz w:val="18"/>
          <w:szCs w:val="18"/>
        </w:rPr>
        <w:t>non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kanserinde EGFR, ALK, ROS mutasyonu bulunmadığı raporda belirtilmelidir. Yassı hücreli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w:t>
      </w:r>
      <w:r>
        <w:rPr>
          <w:rFonts w:ascii="Times New Roman" w:hAnsi="Times New Roman" w:cs="Times New Roman"/>
          <w:bCs/>
          <w:sz w:val="18"/>
          <w:szCs w:val="18"/>
        </w:rPr>
        <w:t>k</w:t>
      </w:r>
      <w:r w:rsidRPr="006A55C8">
        <w:rPr>
          <w:rFonts w:ascii="Times New Roman" w:hAnsi="Times New Roman" w:cs="Times New Roman"/>
          <w:bCs/>
          <w:sz w:val="18"/>
          <w:szCs w:val="18"/>
        </w:rPr>
        <w:t xml:space="preserve">üçük </w:t>
      </w:r>
      <w:r>
        <w:rPr>
          <w:rFonts w:ascii="Times New Roman" w:hAnsi="Times New Roman" w:cs="Times New Roman"/>
          <w:bCs/>
          <w:sz w:val="18"/>
          <w:szCs w:val="18"/>
        </w:rPr>
        <w:t>h</w:t>
      </w:r>
      <w:r w:rsidRPr="006A55C8">
        <w:rPr>
          <w:rFonts w:ascii="Times New Roman" w:hAnsi="Times New Roman" w:cs="Times New Roman"/>
          <w:bCs/>
          <w:sz w:val="18"/>
          <w:szCs w:val="18"/>
        </w:rPr>
        <w:t xml:space="preserve">ücreli </w:t>
      </w:r>
      <w:r>
        <w:rPr>
          <w:rFonts w:ascii="Times New Roman" w:hAnsi="Times New Roman" w:cs="Times New Roman"/>
          <w:bCs/>
          <w:sz w:val="18"/>
          <w:szCs w:val="18"/>
        </w:rPr>
        <w:t>d</w:t>
      </w:r>
      <w:r w:rsidRPr="006A55C8">
        <w:rPr>
          <w:rFonts w:ascii="Times New Roman" w:hAnsi="Times New Roman" w:cs="Times New Roman"/>
          <w:bCs/>
          <w:sz w:val="18"/>
          <w:szCs w:val="18"/>
        </w:rPr>
        <w:t xml:space="preserve">ışı </w:t>
      </w:r>
      <w:r>
        <w:rPr>
          <w:rFonts w:ascii="Times New Roman" w:hAnsi="Times New Roman" w:cs="Times New Roman"/>
          <w:bCs/>
          <w:sz w:val="18"/>
          <w:szCs w:val="18"/>
        </w:rPr>
        <w:t>a</w:t>
      </w:r>
      <w:r w:rsidRPr="006A55C8">
        <w:rPr>
          <w:rFonts w:ascii="Times New Roman" w:hAnsi="Times New Roman" w:cs="Times New Roman"/>
          <w:bCs/>
          <w:sz w:val="18"/>
          <w:szCs w:val="18"/>
        </w:rPr>
        <w:t xml:space="preserve">kciğer </w:t>
      </w:r>
      <w:r>
        <w:rPr>
          <w:rFonts w:ascii="Times New Roman" w:hAnsi="Times New Roman" w:cs="Times New Roman"/>
          <w:bCs/>
          <w:sz w:val="18"/>
          <w:szCs w:val="18"/>
        </w:rPr>
        <w:t>k</w:t>
      </w:r>
      <w:r w:rsidRPr="006A55C8">
        <w:rPr>
          <w:rFonts w:ascii="Times New Roman" w:hAnsi="Times New Roman" w:cs="Times New Roman"/>
          <w:bCs/>
          <w:sz w:val="18"/>
          <w:szCs w:val="18"/>
        </w:rPr>
        <w:t xml:space="preserve">anserinde EGFR, ALK, ROS mutasyon testi yapılması şartı aranmaz. Hastalık </w:t>
      </w:r>
      <w:proofErr w:type="spellStart"/>
      <w:r w:rsidRPr="006A55C8">
        <w:rPr>
          <w:rFonts w:ascii="Times New Roman" w:hAnsi="Times New Roman" w:cs="Times New Roman"/>
          <w:bCs/>
          <w:sz w:val="18"/>
          <w:szCs w:val="18"/>
        </w:rPr>
        <w:t>nüksü</w:t>
      </w:r>
      <w:proofErr w:type="spellEnd"/>
      <w:r w:rsidRPr="006A55C8">
        <w:rPr>
          <w:rFonts w:ascii="Times New Roman" w:hAnsi="Times New Roman" w:cs="Times New Roman"/>
          <w:bCs/>
          <w:sz w:val="18"/>
          <w:szCs w:val="18"/>
        </w:rPr>
        <w:t xml:space="preserve"> veya kabul edilemez </w:t>
      </w:r>
      <w:proofErr w:type="spellStart"/>
      <w:r w:rsidRPr="006A55C8">
        <w:rPr>
          <w:rFonts w:ascii="Times New Roman" w:hAnsi="Times New Roman" w:cs="Times New Roman"/>
          <w:bCs/>
          <w:sz w:val="18"/>
          <w:szCs w:val="18"/>
        </w:rPr>
        <w:t>toksisite</w:t>
      </w:r>
      <w:proofErr w:type="spellEnd"/>
      <w:r w:rsidRPr="006A55C8">
        <w:rPr>
          <w:rFonts w:ascii="Times New Roman" w:hAnsi="Times New Roman" w:cs="Times New Roman"/>
          <w:bCs/>
          <w:sz w:val="18"/>
          <w:szCs w:val="18"/>
        </w:rPr>
        <w:t xml:space="preserve"> olmadıkça en fazla 1 yıl süreyle kullanılması halinde bedeli Kurumca karşılanır. </w:t>
      </w:r>
      <w:proofErr w:type="spellStart"/>
      <w:r w:rsidRPr="006A55C8">
        <w:rPr>
          <w:rFonts w:ascii="Times New Roman" w:hAnsi="Times New Roman" w:cs="Times New Roman"/>
          <w:bCs/>
          <w:sz w:val="18"/>
          <w:szCs w:val="18"/>
        </w:rPr>
        <w:t>Neoadjuvan</w:t>
      </w:r>
      <w:proofErr w:type="spellEnd"/>
      <w:r w:rsidRPr="006A55C8">
        <w:rPr>
          <w:rFonts w:ascii="Times New Roman" w:hAnsi="Times New Roman" w:cs="Times New Roman"/>
          <w:bCs/>
          <w:sz w:val="18"/>
          <w:szCs w:val="18"/>
        </w:rPr>
        <w:t xml:space="preserve"> dönemde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kullanan hastalarda </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tedavide </w:t>
      </w:r>
      <w:proofErr w:type="spellStart"/>
      <w:r w:rsidRPr="006A55C8">
        <w:rPr>
          <w:rFonts w:ascii="Times New Roman" w:hAnsi="Times New Roman" w:cs="Times New Roman"/>
          <w:bCs/>
          <w:sz w:val="18"/>
          <w:szCs w:val="18"/>
        </w:rPr>
        <w:t>atezolizumab</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kullanan hastalarda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2) </w:t>
      </w:r>
      <w:proofErr w:type="spellStart"/>
      <w:r w:rsidRPr="006A55C8">
        <w:rPr>
          <w:rFonts w:ascii="Times New Roman" w:hAnsi="Times New Roman" w:cs="Times New Roman"/>
          <w:bCs/>
          <w:sz w:val="18"/>
          <w:szCs w:val="18"/>
        </w:rPr>
        <w:t>Atezolizumab</w:t>
      </w:r>
      <w:proofErr w:type="spellEnd"/>
      <w:r w:rsidRPr="006A55C8">
        <w:rPr>
          <w:rFonts w:ascii="Times New Roman" w:hAnsi="Times New Roman" w:cs="Times New Roman"/>
          <w:bCs/>
          <w:sz w:val="18"/>
          <w:szCs w:val="18"/>
        </w:rPr>
        <w:t xml:space="preserve">; ECOG performans skoru 0-1 olan, yeterli kardiyak, </w:t>
      </w:r>
      <w:proofErr w:type="spellStart"/>
      <w:r w:rsidRPr="006A55C8">
        <w:rPr>
          <w:rFonts w:ascii="Times New Roman" w:hAnsi="Times New Roman" w:cs="Times New Roman"/>
          <w:bCs/>
          <w:sz w:val="18"/>
          <w:szCs w:val="18"/>
        </w:rPr>
        <w:t>renal</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hepatik</w:t>
      </w:r>
      <w:proofErr w:type="spellEnd"/>
      <w:r w:rsidRPr="006A55C8">
        <w:rPr>
          <w:rFonts w:ascii="Times New Roman" w:hAnsi="Times New Roman" w:cs="Times New Roman"/>
          <w:bCs/>
          <w:sz w:val="18"/>
          <w:szCs w:val="18"/>
        </w:rPr>
        <w:t xml:space="preserve"> fonksiyonları bulunan, aktif beyin metastazı olmayan, eş zamanlı </w:t>
      </w:r>
      <w:proofErr w:type="spellStart"/>
      <w:r w:rsidRPr="006A55C8">
        <w:rPr>
          <w:rFonts w:ascii="Times New Roman" w:hAnsi="Times New Roman" w:cs="Times New Roman"/>
          <w:bCs/>
          <w:sz w:val="18"/>
          <w:szCs w:val="18"/>
        </w:rPr>
        <w:t>immünsupresif</w:t>
      </w:r>
      <w:proofErr w:type="spellEnd"/>
      <w:r w:rsidRPr="006A55C8">
        <w:rPr>
          <w:rFonts w:ascii="Times New Roman" w:hAnsi="Times New Roman" w:cs="Times New Roman"/>
          <w:bCs/>
          <w:sz w:val="18"/>
          <w:szCs w:val="18"/>
        </w:rPr>
        <w:t xml:space="preserve"> veya </w:t>
      </w:r>
      <w:proofErr w:type="spellStart"/>
      <w:r w:rsidRPr="006A55C8">
        <w:rPr>
          <w:rFonts w:ascii="Times New Roman" w:hAnsi="Times New Roman" w:cs="Times New Roman"/>
          <w:bCs/>
          <w:sz w:val="18"/>
          <w:szCs w:val="18"/>
        </w:rPr>
        <w:t>kortikosteroid</w:t>
      </w:r>
      <w:proofErr w:type="spellEnd"/>
      <w:r w:rsidRPr="006A55C8">
        <w:rPr>
          <w:rFonts w:ascii="Times New Roman" w:hAnsi="Times New Roman" w:cs="Times New Roman"/>
          <w:bCs/>
          <w:sz w:val="18"/>
          <w:szCs w:val="18"/>
        </w:rPr>
        <w:t xml:space="preserve"> tedavisi almayan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kanserinde, PD-L1 ekspresyonu %50 ve üzerinde olan hastaların birinci basamak tedavisinde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kullanılması halinde bedeli Kurumca karşılanır. Yassı hücreli olmayan (</w:t>
      </w:r>
      <w:proofErr w:type="spellStart"/>
      <w:r w:rsidRPr="006A55C8">
        <w:rPr>
          <w:rFonts w:ascii="Times New Roman" w:hAnsi="Times New Roman" w:cs="Times New Roman"/>
          <w:bCs/>
          <w:sz w:val="18"/>
          <w:szCs w:val="18"/>
        </w:rPr>
        <w:t>non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kanserinde EGFR, ALK, ROS mutasyonu bulunmadığı raporda belirtilmelidir. Yassı hücreli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küçük hücreli dışı akciğer kanserinde EGFR, ALK, ROS mutasyon testi yapılması şartı aranmaz. Hastalık </w:t>
      </w:r>
      <w:proofErr w:type="spellStart"/>
      <w:r w:rsidRPr="006A55C8">
        <w:rPr>
          <w:rFonts w:ascii="Times New Roman" w:hAnsi="Times New Roman" w:cs="Times New Roman"/>
          <w:bCs/>
          <w:sz w:val="18"/>
          <w:szCs w:val="18"/>
        </w:rPr>
        <w:t>progresyonuna</w:t>
      </w:r>
      <w:proofErr w:type="spellEnd"/>
      <w:r w:rsidRPr="006A55C8">
        <w:rPr>
          <w:rFonts w:ascii="Times New Roman" w:hAnsi="Times New Roman" w:cs="Times New Roman"/>
          <w:bCs/>
          <w:sz w:val="18"/>
          <w:szCs w:val="18"/>
        </w:rPr>
        <w:t xml:space="preserve">, kabul edilemez </w:t>
      </w:r>
      <w:proofErr w:type="spellStart"/>
      <w:r w:rsidRPr="006A55C8">
        <w:rPr>
          <w:rFonts w:ascii="Times New Roman" w:hAnsi="Times New Roman" w:cs="Times New Roman"/>
          <w:bCs/>
          <w:sz w:val="18"/>
          <w:szCs w:val="18"/>
        </w:rPr>
        <w:t>toksisiteye</w:t>
      </w:r>
      <w:proofErr w:type="spellEnd"/>
      <w:r w:rsidRPr="006A55C8">
        <w:rPr>
          <w:rFonts w:ascii="Times New Roman" w:hAnsi="Times New Roman" w:cs="Times New Roman"/>
          <w:bCs/>
          <w:sz w:val="18"/>
          <w:szCs w:val="18"/>
        </w:rPr>
        <w:t xml:space="preserve"> veya hastalık </w:t>
      </w:r>
      <w:proofErr w:type="spellStart"/>
      <w:r w:rsidRPr="006A55C8">
        <w:rPr>
          <w:rFonts w:ascii="Times New Roman" w:hAnsi="Times New Roman" w:cs="Times New Roman"/>
          <w:bCs/>
          <w:sz w:val="18"/>
          <w:szCs w:val="18"/>
        </w:rPr>
        <w:t>progresyonu</w:t>
      </w:r>
      <w:proofErr w:type="spellEnd"/>
      <w:r w:rsidRPr="006A55C8">
        <w:rPr>
          <w:rFonts w:ascii="Times New Roman" w:hAnsi="Times New Roman" w:cs="Times New Roman"/>
          <w:bCs/>
          <w:sz w:val="18"/>
          <w:szCs w:val="18"/>
        </w:rPr>
        <w:t xml:space="preserve"> olmayan hastalarda 3 haftalık </w:t>
      </w:r>
      <w:proofErr w:type="spellStart"/>
      <w:r w:rsidRPr="006A55C8">
        <w:rPr>
          <w:rFonts w:ascii="Times New Roman" w:hAnsi="Times New Roman" w:cs="Times New Roman"/>
          <w:bCs/>
          <w:sz w:val="18"/>
          <w:szCs w:val="18"/>
        </w:rPr>
        <w:t>sikluslarla</w:t>
      </w:r>
      <w:proofErr w:type="spellEnd"/>
      <w:r w:rsidRPr="006A55C8">
        <w:rPr>
          <w:rFonts w:ascii="Times New Roman" w:hAnsi="Times New Roman" w:cs="Times New Roman"/>
          <w:bCs/>
          <w:sz w:val="18"/>
          <w:szCs w:val="18"/>
        </w:rPr>
        <w:t xml:space="preserve"> en fazla 35 küre kadar tedaviye devam edilmesi halinde bedeli Kurumca karşılanır. </w:t>
      </w:r>
      <w:proofErr w:type="spellStart"/>
      <w:r w:rsidRPr="006A55C8">
        <w:rPr>
          <w:rFonts w:ascii="Times New Roman" w:hAnsi="Times New Roman" w:cs="Times New Roman"/>
          <w:bCs/>
          <w:sz w:val="18"/>
          <w:szCs w:val="18"/>
        </w:rPr>
        <w:t>Adjuvan</w:t>
      </w:r>
      <w:proofErr w:type="spellEnd"/>
      <w:r w:rsidRPr="006A55C8">
        <w:rPr>
          <w:rFonts w:ascii="Times New Roman" w:hAnsi="Times New Roman" w:cs="Times New Roman"/>
          <w:bCs/>
          <w:sz w:val="18"/>
          <w:szCs w:val="18"/>
        </w:rPr>
        <w:t xml:space="preserve"> tedavide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kullanan hastalarda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dönemde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ile tedavi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hastalarda diğer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ajanları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3) </w:t>
      </w:r>
      <w:proofErr w:type="spellStart"/>
      <w:r w:rsidRPr="006A55C8">
        <w:rPr>
          <w:rFonts w:ascii="Times New Roman" w:hAnsi="Times New Roman" w:cs="Times New Roman"/>
          <w:bCs/>
          <w:sz w:val="18"/>
          <w:szCs w:val="18"/>
        </w:rPr>
        <w:t>Atezolizumab</w:t>
      </w:r>
      <w:proofErr w:type="spellEnd"/>
      <w:r w:rsidRPr="006A55C8">
        <w:rPr>
          <w:rFonts w:ascii="Times New Roman" w:hAnsi="Times New Roman" w:cs="Times New Roman"/>
          <w:bCs/>
          <w:sz w:val="18"/>
          <w:szCs w:val="18"/>
        </w:rPr>
        <w:t xml:space="preserve">; ECOG performans durumu 0-1 olan, </w:t>
      </w:r>
      <w:proofErr w:type="spellStart"/>
      <w:r w:rsidRPr="006A55C8">
        <w:rPr>
          <w:rFonts w:ascii="Times New Roman" w:hAnsi="Times New Roman" w:cs="Times New Roman"/>
          <w:bCs/>
          <w:sz w:val="18"/>
          <w:szCs w:val="18"/>
        </w:rPr>
        <w:t>semptomatik</w:t>
      </w:r>
      <w:proofErr w:type="spellEnd"/>
      <w:r w:rsidRPr="006A55C8">
        <w:rPr>
          <w:rFonts w:ascii="Times New Roman" w:hAnsi="Times New Roman" w:cs="Times New Roman"/>
          <w:bCs/>
          <w:sz w:val="18"/>
          <w:szCs w:val="18"/>
        </w:rPr>
        <w:t xml:space="preserve"> beyin metastazı olmayan, lokal ileri ve/veya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 nedeniyle daha önce 1-2 basamak kemoterapi almış ve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gelişmiş hastaların tedavisinde tekrar </w:t>
      </w:r>
      <w:proofErr w:type="spellStart"/>
      <w:r w:rsidRPr="006A55C8">
        <w:rPr>
          <w:rFonts w:ascii="Times New Roman" w:hAnsi="Times New Roman" w:cs="Times New Roman"/>
          <w:bCs/>
          <w:sz w:val="18"/>
          <w:szCs w:val="18"/>
        </w:rPr>
        <w:t>progresyona</w:t>
      </w:r>
      <w:proofErr w:type="spellEnd"/>
      <w:r w:rsidRPr="006A55C8">
        <w:rPr>
          <w:rFonts w:ascii="Times New Roman" w:hAnsi="Times New Roman" w:cs="Times New Roman"/>
          <w:bCs/>
          <w:sz w:val="18"/>
          <w:szCs w:val="18"/>
        </w:rPr>
        <w:t xml:space="preserve"> kadar kullanılması halinde bedeli Kurumca karşılanır. Yassı hücreli olmayan (</w:t>
      </w:r>
      <w:proofErr w:type="spellStart"/>
      <w:r w:rsidRPr="006A55C8">
        <w:rPr>
          <w:rFonts w:ascii="Times New Roman" w:hAnsi="Times New Roman" w:cs="Times New Roman"/>
          <w:bCs/>
          <w:sz w:val="18"/>
          <w:szCs w:val="18"/>
        </w:rPr>
        <w:t>non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kanserinde EGFR, ALK, ROS mutasyonu bulunmadığı raporda belirtilmelidir. Yassı hücreli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küçük hücreli dışı akciğer kanserinde EGFR, ALK, ROS mutasyonu testi yapılması şartı aranmaz. Bu </w:t>
      </w:r>
      <w:r w:rsidRPr="006A55C8">
        <w:rPr>
          <w:rFonts w:ascii="Times New Roman" w:hAnsi="Times New Roman" w:cs="Times New Roman"/>
          <w:bCs/>
          <w:sz w:val="18"/>
          <w:szCs w:val="18"/>
        </w:rPr>
        <w:lastRenderedPageBreak/>
        <w:t xml:space="preserve">hastaların tedavisinde tedavi öncesi veya sonrasında başka bir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tedavisi kullanılması halinde bedeli Kurumca karşılanmaz.</w:t>
      </w:r>
    </w:p>
    <w:p w:rsidR="001611E3"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4) </w:t>
      </w:r>
      <w:proofErr w:type="spellStart"/>
      <w:r w:rsidRPr="006A55C8">
        <w:rPr>
          <w:rFonts w:ascii="Times New Roman" w:hAnsi="Times New Roman" w:cs="Times New Roman"/>
          <w:bCs/>
          <w:sz w:val="18"/>
          <w:szCs w:val="18"/>
        </w:rPr>
        <w:t>Atezolizumab</w:t>
      </w:r>
      <w:proofErr w:type="spellEnd"/>
      <w:r w:rsidRPr="006A55C8">
        <w:rPr>
          <w:rFonts w:ascii="Times New Roman" w:hAnsi="Times New Roman" w:cs="Times New Roman"/>
          <w:bCs/>
          <w:sz w:val="18"/>
          <w:szCs w:val="18"/>
        </w:rPr>
        <w:t xml:space="preserve">; ECOG performans skoru 0-1 olan yaygın evre küçük hücreli akciğer kanseri olan yetişkin hastaların birinci basamak tedavisinde </w:t>
      </w:r>
      <w:proofErr w:type="spellStart"/>
      <w:r w:rsidRPr="006A55C8">
        <w:rPr>
          <w:rFonts w:ascii="Times New Roman" w:hAnsi="Times New Roman" w:cs="Times New Roman"/>
          <w:bCs/>
          <w:sz w:val="18"/>
          <w:szCs w:val="18"/>
        </w:rPr>
        <w:t>karboplatin</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etoposidle</w:t>
      </w:r>
      <w:proofErr w:type="spellEnd"/>
      <w:r w:rsidRPr="006A55C8">
        <w:rPr>
          <w:rFonts w:ascii="Times New Roman" w:hAnsi="Times New Roman" w:cs="Times New Roman"/>
          <w:bCs/>
          <w:sz w:val="18"/>
          <w:szCs w:val="18"/>
        </w:rPr>
        <w:t xml:space="preserve"> kombine olarak hastalık </w:t>
      </w:r>
      <w:proofErr w:type="spellStart"/>
      <w:r w:rsidRPr="006A55C8">
        <w:rPr>
          <w:rFonts w:ascii="Times New Roman" w:hAnsi="Times New Roman" w:cs="Times New Roman"/>
          <w:bCs/>
          <w:sz w:val="18"/>
          <w:szCs w:val="18"/>
        </w:rPr>
        <w:t>progresyonuna</w:t>
      </w:r>
      <w:proofErr w:type="spellEnd"/>
      <w:r w:rsidRPr="006A55C8">
        <w:rPr>
          <w:rFonts w:ascii="Times New Roman" w:hAnsi="Times New Roman" w:cs="Times New Roman"/>
          <w:bCs/>
          <w:sz w:val="18"/>
          <w:szCs w:val="18"/>
        </w:rPr>
        <w:t xml:space="preserve"> veya kabul edilemez </w:t>
      </w:r>
      <w:proofErr w:type="spellStart"/>
      <w:r w:rsidRPr="006A55C8">
        <w:rPr>
          <w:rFonts w:ascii="Times New Roman" w:hAnsi="Times New Roman" w:cs="Times New Roman"/>
          <w:bCs/>
          <w:sz w:val="18"/>
          <w:szCs w:val="18"/>
        </w:rPr>
        <w:t>toksisiteye</w:t>
      </w:r>
      <w:proofErr w:type="spellEnd"/>
      <w:r w:rsidRPr="006A55C8">
        <w:rPr>
          <w:rFonts w:ascii="Times New Roman" w:hAnsi="Times New Roman" w:cs="Times New Roman"/>
          <w:bCs/>
          <w:sz w:val="18"/>
          <w:szCs w:val="18"/>
        </w:rPr>
        <w:t xml:space="preserve"> kadar kullanılması halinde bedeli Kurumca karşılanır. Daha önce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kullanan hastalarda yaygın evre hastalık döneminde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Yaygın evre hastalık döneminde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ile tedavi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hastalarda diğer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ajanları kullanılması halinde bedeli Kurumca karşılanmaz.</w:t>
      </w:r>
    </w:p>
    <w:p w:rsidR="001611E3" w:rsidRPr="006A55C8" w:rsidRDefault="001611E3" w:rsidP="001611E3">
      <w:pPr>
        <w:tabs>
          <w:tab w:val="left" w:pos="709"/>
          <w:tab w:val="left" w:pos="3342"/>
        </w:tabs>
        <w:spacing w:after="0" w:line="240" w:lineRule="auto"/>
        <w:ind w:firstLine="709"/>
        <w:jc w:val="both"/>
        <w:rPr>
          <w:rFonts w:ascii="Times New Roman" w:hAnsi="Times New Roman" w:cs="Times New Roman"/>
          <w:bCs/>
          <w:sz w:val="18"/>
          <w:szCs w:val="18"/>
        </w:rPr>
      </w:pPr>
      <w:r w:rsidRPr="006A55C8">
        <w:rPr>
          <w:rFonts w:ascii="Times New Roman" w:hAnsi="Times New Roman" w:cs="Times New Roman"/>
          <w:bCs/>
          <w:sz w:val="18"/>
          <w:szCs w:val="18"/>
        </w:rPr>
        <w:t xml:space="preserve">5) </w:t>
      </w:r>
      <w:proofErr w:type="spellStart"/>
      <w:r w:rsidRPr="006A55C8">
        <w:rPr>
          <w:rFonts w:ascii="Times New Roman" w:hAnsi="Times New Roman" w:cs="Times New Roman"/>
          <w:bCs/>
          <w:sz w:val="18"/>
          <w:szCs w:val="18"/>
        </w:rPr>
        <w:t>Atezolizumab</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bevacizumab</w:t>
      </w:r>
      <w:proofErr w:type="spellEnd"/>
      <w:r w:rsidRPr="006A55C8">
        <w:rPr>
          <w:rFonts w:ascii="Times New Roman" w:hAnsi="Times New Roman" w:cs="Times New Roman"/>
          <w:bCs/>
          <w:sz w:val="18"/>
          <w:szCs w:val="18"/>
        </w:rPr>
        <w:t xml:space="preserve"> ile kombine olarak, daha önce sistemik tedavi görmemiş, ECOG performans durumu 0 ve 1 olan, Child-</w:t>
      </w:r>
      <w:proofErr w:type="spellStart"/>
      <w:r w:rsidRPr="006A55C8">
        <w:rPr>
          <w:rFonts w:ascii="Times New Roman" w:hAnsi="Times New Roman" w:cs="Times New Roman"/>
          <w:bCs/>
          <w:sz w:val="18"/>
          <w:szCs w:val="18"/>
        </w:rPr>
        <w:t>Pugh</w:t>
      </w:r>
      <w:proofErr w:type="spellEnd"/>
      <w:r w:rsidRPr="006A55C8">
        <w:rPr>
          <w:rFonts w:ascii="Times New Roman" w:hAnsi="Times New Roman" w:cs="Times New Roman"/>
          <w:bCs/>
          <w:sz w:val="18"/>
          <w:szCs w:val="18"/>
        </w:rPr>
        <w:t xml:space="preserve"> skoru A olan,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veya </w:t>
      </w:r>
      <w:proofErr w:type="spellStart"/>
      <w:r w:rsidRPr="006A55C8">
        <w:rPr>
          <w:rFonts w:ascii="Times New Roman" w:hAnsi="Times New Roman" w:cs="Times New Roman"/>
          <w:bCs/>
          <w:sz w:val="18"/>
          <w:szCs w:val="18"/>
        </w:rPr>
        <w:t>lokorejyonel</w:t>
      </w:r>
      <w:proofErr w:type="spellEnd"/>
      <w:r w:rsidRPr="006A55C8">
        <w:rPr>
          <w:rFonts w:ascii="Times New Roman" w:hAnsi="Times New Roman" w:cs="Times New Roman"/>
          <w:bCs/>
          <w:sz w:val="18"/>
          <w:szCs w:val="18"/>
        </w:rPr>
        <w:t xml:space="preserve"> tedaviye uygun olmayan </w:t>
      </w:r>
      <w:proofErr w:type="spellStart"/>
      <w:r w:rsidRPr="006A55C8">
        <w:rPr>
          <w:rFonts w:ascii="Times New Roman" w:hAnsi="Times New Roman" w:cs="Times New Roman"/>
          <w:bCs/>
          <w:sz w:val="18"/>
          <w:szCs w:val="18"/>
        </w:rPr>
        <w:t>rezeke</w:t>
      </w:r>
      <w:proofErr w:type="spellEnd"/>
      <w:r w:rsidRPr="006A55C8">
        <w:rPr>
          <w:rFonts w:ascii="Times New Roman" w:hAnsi="Times New Roman" w:cs="Times New Roman"/>
          <w:bCs/>
          <w:sz w:val="18"/>
          <w:szCs w:val="18"/>
        </w:rPr>
        <w:t xml:space="preserve"> edilemeyen </w:t>
      </w:r>
      <w:proofErr w:type="spellStart"/>
      <w:r w:rsidRPr="006A55C8">
        <w:rPr>
          <w:rFonts w:ascii="Times New Roman" w:hAnsi="Times New Roman" w:cs="Times New Roman"/>
          <w:bCs/>
          <w:sz w:val="18"/>
          <w:szCs w:val="18"/>
        </w:rPr>
        <w:t>hepatoselüler</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karsinomlu</w:t>
      </w:r>
      <w:proofErr w:type="spellEnd"/>
      <w:r w:rsidRPr="006A55C8">
        <w:rPr>
          <w:rFonts w:ascii="Times New Roman" w:hAnsi="Times New Roman" w:cs="Times New Roman"/>
          <w:bCs/>
          <w:sz w:val="18"/>
          <w:szCs w:val="18"/>
        </w:rPr>
        <w:t xml:space="preserve"> yetişkin hastaların tedavisinde </w:t>
      </w:r>
      <w:proofErr w:type="spellStart"/>
      <w:r w:rsidRPr="006A55C8">
        <w:rPr>
          <w:rFonts w:ascii="Times New Roman" w:hAnsi="Times New Roman" w:cs="Times New Roman"/>
          <w:bCs/>
          <w:sz w:val="18"/>
          <w:szCs w:val="18"/>
        </w:rPr>
        <w:t>progresyona</w:t>
      </w:r>
      <w:proofErr w:type="spellEnd"/>
      <w:r w:rsidRPr="006A55C8">
        <w:rPr>
          <w:rFonts w:ascii="Times New Roman" w:hAnsi="Times New Roman" w:cs="Times New Roman"/>
          <w:bCs/>
          <w:sz w:val="18"/>
          <w:szCs w:val="18"/>
        </w:rPr>
        <w:t xml:space="preserve"> kadar kullanılması halinde bedeli Kurumca karşılanır. </w:t>
      </w:r>
      <w:proofErr w:type="spellStart"/>
      <w:r w:rsidRPr="006A55C8">
        <w:rPr>
          <w:rFonts w:ascii="Times New Roman" w:hAnsi="Times New Roman" w:cs="Times New Roman"/>
          <w:bCs/>
          <w:sz w:val="18"/>
          <w:szCs w:val="18"/>
        </w:rPr>
        <w:t>Atezolizumab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Pr="00CA206D" w:rsidRDefault="001611E3" w:rsidP="001611E3">
      <w:pPr>
        <w:keepNext/>
        <w:keepLines/>
        <w:spacing w:after="0" w:line="240" w:lineRule="auto"/>
        <w:ind w:firstLine="709"/>
        <w:jc w:val="both"/>
        <w:outlineLvl w:val="2"/>
        <w:rPr>
          <w:rFonts w:ascii="Times New Roman" w:hAnsi="Times New Roman" w:cs="Times New Roman"/>
          <w:b/>
          <w:bCs/>
          <w:sz w:val="18"/>
          <w:szCs w:val="18"/>
        </w:rPr>
      </w:pPr>
      <w:proofErr w:type="gramStart"/>
      <w:r w:rsidRPr="00CA206D">
        <w:rPr>
          <w:rFonts w:ascii="Times New Roman" w:hAnsi="Times New Roman" w:cs="Times New Roman"/>
          <w:b/>
          <w:bCs/>
          <w:sz w:val="18"/>
          <w:szCs w:val="18"/>
        </w:rPr>
        <w:t>ç</w:t>
      </w:r>
      <w:proofErr w:type="gramEnd"/>
      <w:r w:rsidRPr="00CA206D">
        <w:rPr>
          <w:rFonts w:ascii="Times New Roman" w:hAnsi="Times New Roman" w:cs="Times New Roman"/>
          <w:b/>
          <w:bCs/>
          <w:sz w:val="18"/>
          <w:szCs w:val="18"/>
        </w:rPr>
        <w:t xml:space="preserve">) </w:t>
      </w:r>
      <w:proofErr w:type="spellStart"/>
      <w:r w:rsidRPr="00CA206D">
        <w:rPr>
          <w:rFonts w:ascii="Times New Roman" w:hAnsi="Times New Roman" w:cs="Times New Roman"/>
          <w:b/>
          <w:bCs/>
          <w:sz w:val="18"/>
          <w:szCs w:val="18"/>
        </w:rPr>
        <w:t>Durvalumab</w:t>
      </w:r>
      <w:proofErr w:type="spellEnd"/>
      <w:r w:rsidRPr="00CA206D">
        <w:rPr>
          <w:rFonts w:ascii="Times New Roman" w:hAnsi="Times New Roman" w:cs="Times New Roman"/>
          <w:b/>
          <w:bCs/>
          <w:sz w:val="18"/>
          <w:szCs w:val="18"/>
        </w:rPr>
        <w:t xml:space="preserve">; </w:t>
      </w:r>
    </w:p>
    <w:p w:rsidR="001611E3" w:rsidRPr="006A55C8" w:rsidRDefault="001611E3" w:rsidP="001611E3">
      <w:pPr>
        <w:keepNext/>
        <w:keepLines/>
        <w:spacing w:after="0" w:line="240" w:lineRule="auto"/>
        <w:ind w:firstLine="709"/>
        <w:jc w:val="both"/>
        <w:outlineLvl w:val="2"/>
        <w:rPr>
          <w:rFonts w:ascii="Times New Roman" w:hAnsi="Times New Roman" w:cs="Times New Roman"/>
          <w:bCs/>
          <w:sz w:val="18"/>
          <w:szCs w:val="18"/>
        </w:rPr>
      </w:pPr>
      <w:r w:rsidRPr="006A55C8">
        <w:rPr>
          <w:rFonts w:ascii="Times New Roman" w:hAnsi="Times New Roman" w:cs="Times New Roman"/>
          <w:bCs/>
          <w:sz w:val="18"/>
          <w:szCs w:val="18"/>
        </w:rPr>
        <w:t xml:space="preserve">1) </w:t>
      </w:r>
      <w:proofErr w:type="spellStart"/>
      <w:r w:rsidRPr="006A55C8">
        <w:rPr>
          <w:rFonts w:ascii="Times New Roman" w:hAnsi="Times New Roman" w:cs="Times New Roman"/>
          <w:bCs/>
          <w:sz w:val="18"/>
          <w:szCs w:val="18"/>
        </w:rPr>
        <w:t>Durvalumab</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rezeke</w:t>
      </w:r>
      <w:proofErr w:type="spellEnd"/>
      <w:r w:rsidRPr="006A55C8">
        <w:rPr>
          <w:rFonts w:ascii="Times New Roman" w:hAnsi="Times New Roman" w:cs="Times New Roman"/>
          <w:bCs/>
          <w:sz w:val="18"/>
          <w:szCs w:val="18"/>
        </w:rPr>
        <w:t xml:space="preserve"> edilemeyen veya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PD-L1 ≥ %1 (tümörde ve/veya </w:t>
      </w:r>
      <w:proofErr w:type="spellStart"/>
      <w:r w:rsidRPr="006A55C8">
        <w:rPr>
          <w:rFonts w:ascii="Times New Roman" w:hAnsi="Times New Roman" w:cs="Times New Roman"/>
          <w:bCs/>
          <w:sz w:val="18"/>
          <w:szCs w:val="18"/>
        </w:rPr>
        <w:t>infiltre</w:t>
      </w:r>
      <w:proofErr w:type="spellEnd"/>
      <w:r w:rsidRPr="006A55C8">
        <w:rPr>
          <w:rFonts w:ascii="Times New Roman" w:hAnsi="Times New Roman" w:cs="Times New Roman"/>
          <w:bCs/>
          <w:sz w:val="18"/>
          <w:szCs w:val="18"/>
        </w:rPr>
        <w:t xml:space="preserve"> eden </w:t>
      </w:r>
      <w:proofErr w:type="spellStart"/>
      <w:r w:rsidRPr="006A55C8">
        <w:rPr>
          <w:rFonts w:ascii="Times New Roman" w:hAnsi="Times New Roman" w:cs="Times New Roman"/>
          <w:bCs/>
          <w:sz w:val="18"/>
          <w:szCs w:val="18"/>
        </w:rPr>
        <w:t>immün</w:t>
      </w:r>
      <w:proofErr w:type="spellEnd"/>
      <w:r w:rsidRPr="006A55C8">
        <w:rPr>
          <w:rFonts w:ascii="Times New Roman" w:hAnsi="Times New Roman" w:cs="Times New Roman"/>
          <w:bCs/>
          <w:sz w:val="18"/>
          <w:szCs w:val="18"/>
        </w:rPr>
        <w:t xml:space="preserve"> hücrelerde) pozitif safra yolu kanserli yetişkinlerin birinci basamak tedavisinde </w:t>
      </w:r>
      <w:proofErr w:type="spellStart"/>
      <w:r w:rsidRPr="006A55C8">
        <w:rPr>
          <w:rFonts w:ascii="Times New Roman" w:hAnsi="Times New Roman" w:cs="Times New Roman"/>
          <w:bCs/>
          <w:sz w:val="18"/>
          <w:szCs w:val="18"/>
        </w:rPr>
        <w:t>gemsitabin</w:t>
      </w:r>
      <w:proofErr w:type="spellEnd"/>
      <w:r w:rsidRPr="006A55C8">
        <w:rPr>
          <w:rFonts w:ascii="Times New Roman" w:hAnsi="Times New Roman" w:cs="Times New Roman"/>
          <w:bCs/>
          <w:sz w:val="18"/>
          <w:szCs w:val="18"/>
        </w:rPr>
        <w:t xml:space="preserve"> ve </w:t>
      </w:r>
      <w:proofErr w:type="spellStart"/>
      <w:r w:rsidRPr="006A55C8">
        <w:rPr>
          <w:rFonts w:ascii="Times New Roman" w:hAnsi="Times New Roman" w:cs="Times New Roman"/>
          <w:bCs/>
          <w:sz w:val="18"/>
          <w:szCs w:val="18"/>
        </w:rPr>
        <w:t>sisplatin</w:t>
      </w:r>
      <w:proofErr w:type="spellEnd"/>
      <w:r w:rsidRPr="006A55C8">
        <w:rPr>
          <w:rFonts w:ascii="Times New Roman" w:hAnsi="Times New Roman" w:cs="Times New Roman"/>
          <w:bCs/>
          <w:sz w:val="18"/>
          <w:szCs w:val="18"/>
        </w:rPr>
        <w:t xml:space="preserve"> ile kombinasyon halinde ve ardından idame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w:t>
      </w:r>
      <w:proofErr w:type="spellStart"/>
      <w:r w:rsidRPr="006A55C8">
        <w:rPr>
          <w:rFonts w:ascii="Times New Roman" w:hAnsi="Times New Roman" w:cs="Times New Roman"/>
          <w:bCs/>
          <w:sz w:val="18"/>
          <w:szCs w:val="18"/>
        </w:rPr>
        <w:t>progresyona</w:t>
      </w:r>
      <w:proofErr w:type="spellEnd"/>
      <w:r w:rsidRPr="006A55C8">
        <w:rPr>
          <w:rFonts w:ascii="Times New Roman" w:hAnsi="Times New Roman" w:cs="Times New Roman"/>
          <w:bCs/>
          <w:sz w:val="18"/>
          <w:szCs w:val="18"/>
        </w:rPr>
        <w:t xml:space="preserve"> kadar kullanılması halinde bedeli Kurumca karşılanır. Kemoterapi ile birlikte kullanıldığında 3 haftada bir en fazla 8 kür, idame dönemde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4 haftada bir en fazla 1500 mg olarak kullanılır. </w:t>
      </w:r>
      <w:proofErr w:type="spellStart"/>
      <w:r w:rsidRPr="006A55C8">
        <w:rPr>
          <w:rFonts w:ascii="Times New Roman" w:hAnsi="Times New Roman" w:cs="Times New Roman"/>
          <w:bCs/>
          <w:sz w:val="18"/>
          <w:szCs w:val="18"/>
        </w:rPr>
        <w:t>Durvalumab</w:t>
      </w:r>
      <w:proofErr w:type="spellEnd"/>
      <w:r w:rsidRPr="006A55C8">
        <w:rPr>
          <w:rFonts w:ascii="Times New Roman" w:hAnsi="Times New Roman" w:cs="Times New Roman"/>
          <w:bCs/>
          <w:sz w:val="18"/>
          <w:szCs w:val="18"/>
        </w:rPr>
        <w:t xml:space="preserve"> tedavisi sırasında veya sonrasında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gelişen hastaların tedavisinde hastalığın sonraki basamaklarında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w:t>
      </w:r>
    </w:p>
    <w:p w:rsidR="001611E3" w:rsidRDefault="001611E3" w:rsidP="001611E3">
      <w:pPr>
        <w:keepNext/>
        <w:keepLines/>
        <w:spacing w:after="0" w:line="240" w:lineRule="auto"/>
        <w:ind w:firstLine="709"/>
        <w:jc w:val="both"/>
        <w:outlineLvl w:val="2"/>
        <w:rPr>
          <w:rFonts w:ascii="Times New Roman" w:hAnsi="Times New Roman" w:cs="Times New Roman"/>
          <w:bCs/>
          <w:sz w:val="18"/>
          <w:szCs w:val="18"/>
        </w:rPr>
      </w:pPr>
      <w:r w:rsidRPr="006A55C8">
        <w:rPr>
          <w:rFonts w:ascii="Times New Roman" w:hAnsi="Times New Roman" w:cs="Times New Roman"/>
          <w:bCs/>
          <w:sz w:val="18"/>
          <w:szCs w:val="18"/>
        </w:rPr>
        <w:t xml:space="preserve">2) </w:t>
      </w:r>
      <w:proofErr w:type="spellStart"/>
      <w:r w:rsidRPr="006A55C8">
        <w:rPr>
          <w:rFonts w:ascii="Times New Roman" w:hAnsi="Times New Roman" w:cs="Times New Roman"/>
          <w:bCs/>
          <w:sz w:val="18"/>
          <w:szCs w:val="18"/>
        </w:rPr>
        <w:t>Durvalumab</w:t>
      </w:r>
      <w:proofErr w:type="spellEnd"/>
      <w:r w:rsidRPr="006A55C8">
        <w:rPr>
          <w:rFonts w:ascii="Times New Roman" w:hAnsi="Times New Roman" w:cs="Times New Roman"/>
          <w:bCs/>
          <w:sz w:val="18"/>
          <w:szCs w:val="18"/>
        </w:rPr>
        <w:t xml:space="preserve">; PD-L1 düzeyi %1 ve üzeri olan, </w:t>
      </w:r>
      <w:proofErr w:type="spellStart"/>
      <w:r w:rsidRPr="006A55C8">
        <w:rPr>
          <w:rFonts w:ascii="Times New Roman" w:hAnsi="Times New Roman" w:cs="Times New Roman"/>
          <w:bCs/>
          <w:sz w:val="18"/>
          <w:szCs w:val="18"/>
        </w:rPr>
        <w:t>rezeke</w:t>
      </w:r>
      <w:proofErr w:type="spellEnd"/>
      <w:r w:rsidRPr="006A55C8">
        <w:rPr>
          <w:rFonts w:ascii="Times New Roman" w:hAnsi="Times New Roman" w:cs="Times New Roman"/>
          <w:bCs/>
          <w:sz w:val="18"/>
          <w:szCs w:val="18"/>
        </w:rPr>
        <w:t xml:space="preserve"> edilemeyen Evre 3 (TNM 7’ye göre) küçük hücreli dışı akciğer kanserinde, platin bazlı </w:t>
      </w:r>
      <w:proofErr w:type="spellStart"/>
      <w:r w:rsidRPr="006A55C8">
        <w:rPr>
          <w:rFonts w:ascii="Times New Roman" w:hAnsi="Times New Roman" w:cs="Times New Roman"/>
          <w:bCs/>
          <w:sz w:val="18"/>
          <w:szCs w:val="18"/>
        </w:rPr>
        <w:t>kemoradyoterapi</w:t>
      </w:r>
      <w:proofErr w:type="spellEnd"/>
      <w:r w:rsidRPr="006A55C8">
        <w:rPr>
          <w:rFonts w:ascii="Times New Roman" w:hAnsi="Times New Roman" w:cs="Times New Roman"/>
          <w:bCs/>
          <w:sz w:val="18"/>
          <w:szCs w:val="18"/>
        </w:rPr>
        <w:t xml:space="preserve"> sonrası </w:t>
      </w:r>
      <w:proofErr w:type="spellStart"/>
      <w:r w:rsidRPr="006A55C8">
        <w:rPr>
          <w:rFonts w:ascii="Times New Roman" w:hAnsi="Times New Roman" w:cs="Times New Roman"/>
          <w:bCs/>
          <w:sz w:val="18"/>
          <w:szCs w:val="18"/>
        </w:rPr>
        <w:t>progresyon</w:t>
      </w:r>
      <w:proofErr w:type="spellEnd"/>
      <w:r w:rsidRPr="006A55C8">
        <w:rPr>
          <w:rFonts w:ascii="Times New Roman" w:hAnsi="Times New Roman" w:cs="Times New Roman"/>
          <w:bCs/>
          <w:sz w:val="18"/>
          <w:szCs w:val="18"/>
        </w:rPr>
        <w:t xml:space="preserve"> görülmeyen yetişkin hastaların tedavisinde </w:t>
      </w:r>
      <w:proofErr w:type="spellStart"/>
      <w:r w:rsidRPr="006A55C8">
        <w:rPr>
          <w:rFonts w:ascii="Times New Roman" w:hAnsi="Times New Roman" w:cs="Times New Roman"/>
          <w:bCs/>
          <w:sz w:val="18"/>
          <w:szCs w:val="18"/>
        </w:rPr>
        <w:t>monoterapi</w:t>
      </w:r>
      <w:proofErr w:type="spellEnd"/>
      <w:r w:rsidRPr="006A55C8">
        <w:rPr>
          <w:rFonts w:ascii="Times New Roman" w:hAnsi="Times New Roman" w:cs="Times New Roman"/>
          <w:bCs/>
          <w:sz w:val="18"/>
          <w:szCs w:val="18"/>
        </w:rPr>
        <w:t xml:space="preserve"> olarak kullanılır. Hastalık </w:t>
      </w:r>
      <w:proofErr w:type="spellStart"/>
      <w:r w:rsidRPr="006A55C8">
        <w:rPr>
          <w:rFonts w:ascii="Times New Roman" w:hAnsi="Times New Roman" w:cs="Times New Roman"/>
          <w:bCs/>
          <w:sz w:val="18"/>
          <w:szCs w:val="18"/>
        </w:rPr>
        <w:t>progresyonuna</w:t>
      </w:r>
      <w:proofErr w:type="spellEnd"/>
      <w:r w:rsidRPr="006A55C8">
        <w:rPr>
          <w:rFonts w:ascii="Times New Roman" w:hAnsi="Times New Roman" w:cs="Times New Roman"/>
          <w:bCs/>
          <w:sz w:val="18"/>
          <w:szCs w:val="18"/>
        </w:rPr>
        <w:t xml:space="preserve">, kabul edilemez </w:t>
      </w:r>
      <w:proofErr w:type="spellStart"/>
      <w:r w:rsidRPr="006A55C8">
        <w:rPr>
          <w:rFonts w:ascii="Times New Roman" w:hAnsi="Times New Roman" w:cs="Times New Roman"/>
          <w:bCs/>
          <w:sz w:val="18"/>
          <w:szCs w:val="18"/>
        </w:rPr>
        <w:t>toksisiteye</w:t>
      </w:r>
      <w:proofErr w:type="spellEnd"/>
      <w:r w:rsidRPr="006A55C8">
        <w:rPr>
          <w:rFonts w:ascii="Times New Roman" w:hAnsi="Times New Roman" w:cs="Times New Roman"/>
          <w:bCs/>
          <w:sz w:val="18"/>
          <w:szCs w:val="18"/>
        </w:rPr>
        <w:t xml:space="preserve"> veya hastalık </w:t>
      </w:r>
      <w:proofErr w:type="spellStart"/>
      <w:r w:rsidRPr="006A55C8">
        <w:rPr>
          <w:rFonts w:ascii="Times New Roman" w:hAnsi="Times New Roman" w:cs="Times New Roman"/>
          <w:bCs/>
          <w:sz w:val="18"/>
          <w:szCs w:val="18"/>
        </w:rPr>
        <w:t>progresyonu</w:t>
      </w:r>
      <w:proofErr w:type="spellEnd"/>
      <w:r w:rsidRPr="006A55C8">
        <w:rPr>
          <w:rFonts w:ascii="Times New Roman" w:hAnsi="Times New Roman" w:cs="Times New Roman"/>
          <w:bCs/>
          <w:sz w:val="18"/>
          <w:szCs w:val="18"/>
        </w:rPr>
        <w:t xml:space="preserve"> olmayan hastalarda en fazla 12 aya kadar kullanılması halinde bedeli Kurumca karşılanır. </w:t>
      </w:r>
      <w:proofErr w:type="spellStart"/>
      <w:r w:rsidRPr="006A55C8">
        <w:rPr>
          <w:rFonts w:ascii="Times New Roman" w:hAnsi="Times New Roman" w:cs="Times New Roman"/>
          <w:bCs/>
          <w:sz w:val="18"/>
          <w:szCs w:val="18"/>
        </w:rPr>
        <w:t>Durvalumab</w:t>
      </w:r>
      <w:proofErr w:type="spellEnd"/>
      <w:r w:rsidRPr="006A55C8">
        <w:rPr>
          <w:rFonts w:ascii="Times New Roman" w:hAnsi="Times New Roman" w:cs="Times New Roman"/>
          <w:bCs/>
          <w:sz w:val="18"/>
          <w:szCs w:val="18"/>
        </w:rPr>
        <w:t xml:space="preserve"> kullanan hastalarda daha sonraki basamaklarda tekrar </w:t>
      </w:r>
      <w:proofErr w:type="spellStart"/>
      <w:r w:rsidRPr="006A55C8">
        <w:rPr>
          <w:rFonts w:ascii="Times New Roman" w:hAnsi="Times New Roman" w:cs="Times New Roman"/>
          <w:bCs/>
          <w:sz w:val="18"/>
          <w:szCs w:val="18"/>
        </w:rPr>
        <w:t>immünoterapi</w:t>
      </w:r>
      <w:proofErr w:type="spellEnd"/>
      <w:r w:rsidRPr="006A55C8">
        <w:rPr>
          <w:rFonts w:ascii="Times New Roman" w:hAnsi="Times New Roman" w:cs="Times New Roman"/>
          <w:bCs/>
          <w:sz w:val="18"/>
          <w:szCs w:val="18"/>
        </w:rPr>
        <w:t xml:space="preserve"> kullanılması halinde bedeli Kurumca karşılanmaz. Yassı hücreli olmayan (</w:t>
      </w:r>
      <w:proofErr w:type="spellStart"/>
      <w:r w:rsidRPr="006A55C8">
        <w:rPr>
          <w:rFonts w:ascii="Times New Roman" w:hAnsi="Times New Roman" w:cs="Times New Roman"/>
          <w:bCs/>
          <w:sz w:val="18"/>
          <w:szCs w:val="18"/>
        </w:rPr>
        <w:t>non</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xml:space="preserve">) </w:t>
      </w:r>
      <w:proofErr w:type="spellStart"/>
      <w:r w:rsidRPr="006A55C8">
        <w:rPr>
          <w:rFonts w:ascii="Times New Roman" w:hAnsi="Times New Roman" w:cs="Times New Roman"/>
          <w:bCs/>
          <w:sz w:val="18"/>
          <w:szCs w:val="18"/>
        </w:rPr>
        <w:t>metastatik</w:t>
      </w:r>
      <w:proofErr w:type="spellEnd"/>
      <w:r w:rsidRPr="006A55C8">
        <w:rPr>
          <w:rFonts w:ascii="Times New Roman" w:hAnsi="Times New Roman" w:cs="Times New Roman"/>
          <w:bCs/>
          <w:sz w:val="18"/>
          <w:szCs w:val="18"/>
        </w:rPr>
        <w:t xml:space="preserve"> küçük hücreli dışı akciğer kanserinde EGFR, ALK, ROS mutasyonu bulunmadığı raporda belirtilmelidir. Yassı hücreli (</w:t>
      </w:r>
      <w:proofErr w:type="spellStart"/>
      <w:r w:rsidRPr="006A55C8">
        <w:rPr>
          <w:rFonts w:ascii="Times New Roman" w:hAnsi="Times New Roman" w:cs="Times New Roman"/>
          <w:bCs/>
          <w:sz w:val="18"/>
          <w:szCs w:val="18"/>
        </w:rPr>
        <w:t>squamöz</w:t>
      </w:r>
      <w:proofErr w:type="spellEnd"/>
      <w:r w:rsidRPr="006A55C8">
        <w:rPr>
          <w:rFonts w:ascii="Times New Roman" w:hAnsi="Times New Roman" w:cs="Times New Roman"/>
          <w:bCs/>
          <w:sz w:val="18"/>
          <w:szCs w:val="18"/>
        </w:rPr>
        <w:t>) küçük hücreli dışı akciğer kanserinde EGFR, ALK, ROS mutasyon testi yapılması şartı aranmaz.</w:t>
      </w:r>
      <w:r>
        <w:rPr>
          <w:rFonts w:ascii="Times New Roman" w:hAnsi="Times New Roman" w:cs="Times New Roman"/>
          <w:bCs/>
          <w:sz w:val="18"/>
          <w:szCs w:val="18"/>
        </w:rPr>
        <w:t>”</w:t>
      </w:r>
    </w:p>
    <w:p w:rsidR="00DE2002" w:rsidRDefault="00CA6BAE" w:rsidP="00DE2002">
      <w:pPr>
        <w:tabs>
          <w:tab w:val="left" w:pos="709"/>
        </w:tabs>
        <w:spacing w:after="0" w:line="240" w:lineRule="auto"/>
        <w:ind w:left="709"/>
        <w:jc w:val="both"/>
        <w:rPr>
          <w:rFonts w:ascii="Times New Roman" w:eastAsia="Times New Roman" w:hAnsi="Times New Roman" w:cs="Times New Roman"/>
          <w:bCs/>
          <w:sz w:val="18"/>
          <w:szCs w:val="18"/>
          <w:lang w:eastAsia="tr-TR"/>
        </w:rPr>
      </w:pPr>
      <w:r w:rsidRPr="00D72005">
        <w:rPr>
          <w:rFonts w:ascii="Times New Roman" w:hAnsi="Times New Roman" w:cs="Times New Roman"/>
          <w:b/>
          <w:bCs/>
          <w:sz w:val="18"/>
          <w:szCs w:val="18"/>
        </w:rPr>
        <w:t xml:space="preserve">MADDE </w:t>
      </w:r>
      <w:r>
        <w:rPr>
          <w:rFonts w:ascii="Times New Roman" w:hAnsi="Times New Roman" w:cs="Times New Roman"/>
          <w:b/>
          <w:bCs/>
          <w:sz w:val="18"/>
          <w:szCs w:val="18"/>
        </w:rPr>
        <w:t>2</w:t>
      </w:r>
      <w:r w:rsidRPr="00D72005">
        <w:rPr>
          <w:rFonts w:ascii="Times New Roman" w:hAnsi="Times New Roman" w:cs="Times New Roman"/>
          <w:b/>
          <w:bCs/>
          <w:sz w:val="18"/>
          <w:szCs w:val="18"/>
        </w:rPr>
        <w:t>-</w:t>
      </w:r>
      <w:r w:rsidRPr="00D72005">
        <w:rPr>
          <w:rFonts w:ascii="Times New Roman" w:hAnsi="Times New Roman" w:cs="Times New Roman"/>
          <w:bCs/>
          <w:sz w:val="18"/>
          <w:szCs w:val="18"/>
        </w:rPr>
        <w:t xml:space="preserve"> </w:t>
      </w:r>
      <w:r w:rsidR="00C255F5" w:rsidRPr="00F5782D">
        <w:rPr>
          <w:rFonts w:ascii="Times New Roman" w:eastAsia="Times New Roman" w:hAnsi="Times New Roman" w:cs="Times New Roman"/>
          <w:sz w:val="18"/>
          <w:szCs w:val="18"/>
          <w:lang w:eastAsia="tr-TR"/>
        </w:rPr>
        <w:t xml:space="preserve">Aynı Tebliğin </w:t>
      </w:r>
      <w:r w:rsidR="00C255F5">
        <w:rPr>
          <w:rFonts w:ascii="Times New Roman" w:eastAsia="Times New Roman" w:hAnsi="Times New Roman" w:cs="Times New Roman"/>
          <w:sz w:val="18"/>
          <w:szCs w:val="18"/>
          <w:lang w:eastAsia="tr-TR"/>
        </w:rPr>
        <w:t>4.2.45</w:t>
      </w:r>
      <w:r w:rsidR="00C255F5" w:rsidRPr="00F5782D">
        <w:rPr>
          <w:rFonts w:ascii="Times New Roman" w:eastAsia="Times New Roman" w:hAnsi="Times New Roman" w:cs="Times New Roman"/>
          <w:sz w:val="18"/>
          <w:szCs w:val="18"/>
          <w:lang w:eastAsia="tr-TR"/>
        </w:rPr>
        <w:t xml:space="preserve"> numaralı maddesi</w:t>
      </w:r>
      <w:r w:rsidR="00DE2002">
        <w:rPr>
          <w:rFonts w:ascii="Times New Roman" w:eastAsia="Times New Roman" w:hAnsi="Times New Roman" w:cs="Times New Roman"/>
          <w:sz w:val="18"/>
          <w:szCs w:val="18"/>
          <w:lang w:eastAsia="tr-TR"/>
        </w:rPr>
        <w:t xml:space="preserve"> </w:t>
      </w:r>
      <w:r w:rsidR="00DE2002" w:rsidRPr="00EB7AC4">
        <w:rPr>
          <w:rFonts w:ascii="Times New Roman" w:eastAsia="Times New Roman" w:hAnsi="Times New Roman" w:cs="Times New Roman"/>
          <w:bCs/>
          <w:sz w:val="18"/>
          <w:szCs w:val="18"/>
          <w:lang w:eastAsia="tr-TR"/>
        </w:rPr>
        <w:t>yürürlükten kaldırılmıştır.</w:t>
      </w:r>
    </w:p>
    <w:p w:rsidR="002550A9" w:rsidRPr="00EB7AC4" w:rsidRDefault="002550A9" w:rsidP="002550A9">
      <w:pPr>
        <w:spacing w:after="0" w:line="240" w:lineRule="auto"/>
        <w:ind w:firstLine="709"/>
        <w:jc w:val="both"/>
        <w:rPr>
          <w:rFonts w:ascii="Times New Roman" w:hAnsi="Times New Roman" w:cs="Times New Roman"/>
          <w:b/>
          <w:sz w:val="18"/>
          <w:szCs w:val="18"/>
        </w:rPr>
      </w:pPr>
      <w:r w:rsidRPr="00D72005">
        <w:rPr>
          <w:rFonts w:ascii="Times New Roman" w:hAnsi="Times New Roman" w:cs="Times New Roman"/>
          <w:b/>
          <w:bCs/>
          <w:sz w:val="18"/>
          <w:szCs w:val="18"/>
        </w:rPr>
        <w:t xml:space="preserve">MADDE </w:t>
      </w:r>
      <w:r>
        <w:rPr>
          <w:rFonts w:ascii="Times New Roman" w:hAnsi="Times New Roman" w:cs="Times New Roman"/>
          <w:b/>
          <w:bCs/>
          <w:sz w:val="18"/>
          <w:szCs w:val="18"/>
        </w:rPr>
        <w:t>3</w:t>
      </w:r>
      <w:r w:rsidRPr="00D72005">
        <w:rPr>
          <w:rFonts w:ascii="Times New Roman" w:hAnsi="Times New Roman" w:cs="Times New Roman"/>
          <w:b/>
          <w:bCs/>
          <w:sz w:val="18"/>
          <w:szCs w:val="18"/>
        </w:rPr>
        <w:t>-</w:t>
      </w:r>
      <w:r w:rsidRPr="00D72005">
        <w:rPr>
          <w:rFonts w:ascii="Times New Roman" w:hAnsi="Times New Roman" w:cs="Times New Roman"/>
          <w:bCs/>
          <w:sz w:val="18"/>
          <w:szCs w:val="18"/>
        </w:rPr>
        <w:t xml:space="preserve"> Aynı Tebliğ</w:t>
      </w:r>
      <w:r>
        <w:rPr>
          <w:rFonts w:ascii="Times New Roman" w:hAnsi="Times New Roman" w:cs="Times New Roman"/>
          <w:bCs/>
          <w:sz w:val="18"/>
          <w:szCs w:val="18"/>
        </w:rPr>
        <w:t xml:space="preserve">in </w:t>
      </w:r>
      <w:r w:rsidRPr="00EB7AC4">
        <w:rPr>
          <w:rFonts w:ascii="Times New Roman" w:hAnsi="Times New Roman" w:cs="Times New Roman"/>
          <w:bCs/>
          <w:sz w:val="18"/>
          <w:szCs w:val="18"/>
        </w:rPr>
        <w:t>4.2 numaralı maddesine aşağıdaki alt madde eklenmiştir.</w:t>
      </w:r>
      <w:r w:rsidRPr="00EB7AC4">
        <w:rPr>
          <w:rFonts w:ascii="Times New Roman" w:hAnsi="Times New Roman" w:cs="Times New Roman"/>
          <w:b/>
          <w:sz w:val="18"/>
          <w:szCs w:val="18"/>
        </w:rPr>
        <w:t xml:space="preserve"> </w:t>
      </w:r>
    </w:p>
    <w:p w:rsidR="002550A9" w:rsidRPr="008001E0" w:rsidRDefault="002550A9" w:rsidP="002550A9">
      <w:pPr>
        <w:spacing w:after="0" w:line="240" w:lineRule="auto"/>
        <w:ind w:firstLine="708"/>
        <w:jc w:val="both"/>
        <w:rPr>
          <w:rFonts w:ascii="Times New Roman" w:hAnsi="Times New Roman" w:cs="Times New Roman"/>
          <w:b/>
          <w:bCs/>
          <w:sz w:val="18"/>
          <w:szCs w:val="24"/>
        </w:rPr>
      </w:pPr>
      <w:r>
        <w:rPr>
          <w:rFonts w:ascii="Times New Roman" w:eastAsia="Times New Roman" w:hAnsi="Times New Roman" w:cs="Times New Roman"/>
          <w:bCs/>
          <w:sz w:val="18"/>
          <w:szCs w:val="18"/>
          <w:lang w:eastAsia="tr-TR"/>
        </w:rPr>
        <w:t>“</w:t>
      </w:r>
      <w:r w:rsidRPr="008001E0">
        <w:rPr>
          <w:rFonts w:ascii="Times New Roman" w:hAnsi="Times New Roman" w:cs="Times New Roman"/>
          <w:b/>
          <w:bCs/>
          <w:sz w:val="18"/>
          <w:szCs w:val="24"/>
        </w:rPr>
        <w:t xml:space="preserve">4.2.73 </w:t>
      </w:r>
      <w:r>
        <w:rPr>
          <w:rFonts w:ascii="Times New Roman" w:hAnsi="Times New Roman" w:cs="Times New Roman"/>
          <w:b/>
          <w:bCs/>
          <w:sz w:val="18"/>
          <w:szCs w:val="24"/>
        </w:rPr>
        <w:t>–</w:t>
      </w:r>
      <w:r w:rsidRPr="008001E0">
        <w:rPr>
          <w:rFonts w:ascii="Times New Roman" w:hAnsi="Times New Roman" w:cs="Times New Roman"/>
          <w:b/>
          <w:bCs/>
          <w:sz w:val="18"/>
          <w:szCs w:val="24"/>
        </w:rPr>
        <w:t xml:space="preserve"> </w:t>
      </w:r>
      <w:r>
        <w:rPr>
          <w:rFonts w:ascii="Times New Roman" w:hAnsi="Times New Roman" w:cs="Times New Roman"/>
          <w:b/>
          <w:bCs/>
          <w:sz w:val="18"/>
          <w:szCs w:val="24"/>
        </w:rPr>
        <w:t>“</w:t>
      </w:r>
      <w:proofErr w:type="spellStart"/>
      <w:r w:rsidRPr="00866DBF">
        <w:rPr>
          <w:rFonts w:ascii="Times New Roman" w:hAnsi="Times New Roman" w:cs="Times New Roman"/>
          <w:b/>
          <w:bCs/>
          <w:sz w:val="18"/>
          <w:szCs w:val="24"/>
        </w:rPr>
        <w:t>Elexacaftor</w:t>
      </w:r>
      <w:proofErr w:type="spellEnd"/>
      <w:r w:rsidRPr="00866DBF">
        <w:rPr>
          <w:rFonts w:ascii="Times New Roman" w:hAnsi="Times New Roman" w:cs="Times New Roman"/>
          <w:b/>
          <w:bCs/>
          <w:sz w:val="18"/>
          <w:szCs w:val="24"/>
        </w:rPr>
        <w:t>/</w:t>
      </w:r>
      <w:proofErr w:type="spellStart"/>
      <w:r w:rsidRPr="00866DBF">
        <w:rPr>
          <w:rFonts w:ascii="Times New Roman" w:hAnsi="Times New Roman" w:cs="Times New Roman"/>
          <w:b/>
          <w:bCs/>
          <w:sz w:val="18"/>
          <w:szCs w:val="24"/>
        </w:rPr>
        <w:t>Tezacaftor</w:t>
      </w:r>
      <w:proofErr w:type="spellEnd"/>
      <w:r w:rsidRPr="00866DBF">
        <w:rPr>
          <w:rFonts w:ascii="Times New Roman" w:hAnsi="Times New Roman" w:cs="Times New Roman"/>
          <w:b/>
          <w:bCs/>
          <w:sz w:val="18"/>
          <w:szCs w:val="24"/>
        </w:rPr>
        <w:t>/</w:t>
      </w:r>
      <w:proofErr w:type="spellStart"/>
      <w:r w:rsidRPr="00866DBF">
        <w:rPr>
          <w:rFonts w:ascii="Times New Roman" w:hAnsi="Times New Roman" w:cs="Times New Roman"/>
          <w:b/>
          <w:bCs/>
          <w:sz w:val="18"/>
          <w:szCs w:val="24"/>
        </w:rPr>
        <w:t>Ivacaftor</w:t>
      </w:r>
      <w:proofErr w:type="spellEnd"/>
      <w:r w:rsidRPr="00866DBF">
        <w:rPr>
          <w:rFonts w:ascii="Times New Roman" w:hAnsi="Times New Roman" w:cs="Times New Roman"/>
          <w:b/>
          <w:bCs/>
          <w:sz w:val="18"/>
          <w:szCs w:val="24"/>
        </w:rPr>
        <w:t xml:space="preserve"> </w:t>
      </w:r>
      <w:proofErr w:type="spellStart"/>
      <w:r w:rsidRPr="00866DBF">
        <w:rPr>
          <w:rFonts w:ascii="Times New Roman" w:hAnsi="Times New Roman" w:cs="Times New Roman"/>
          <w:b/>
          <w:bCs/>
          <w:sz w:val="18"/>
          <w:szCs w:val="24"/>
        </w:rPr>
        <w:t>and</w:t>
      </w:r>
      <w:proofErr w:type="spellEnd"/>
      <w:r w:rsidRPr="00866DBF">
        <w:rPr>
          <w:rFonts w:ascii="Times New Roman" w:hAnsi="Times New Roman" w:cs="Times New Roman"/>
          <w:b/>
          <w:bCs/>
          <w:sz w:val="18"/>
          <w:szCs w:val="24"/>
        </w:rPr>
        <w:t xml:space="preserve"> </w:t>
      </w:r>
      <w:proofErr w:type="spellStart"/>
      <w:r w:rsidRPr="00866DBF">
        <w:rPr>
          <w:rFonts w:ascii="Times New Roman" w:hAnsi="Times New Roman" w:cs="Times New Roman"/>
          <w:b/>
          <w:bCs/>
          <w:sz w:val="18"/>
          <w:szCs w:val="24"/>
        </w:rPr>
        <w:t>Ivacaftor</w:t>
      </w:r>
      <w:proofErr w:type="spellEnd"/>
      <w:r>
        <w:rPr>
          <w:rFonts w:ascii="Times New Roman" w:hAnsi="Times New Roman" w:cs="Times New Roman"/>
          <w:b/>
          <w:bCs/>
          <w:sz w:val="18"/>
          <w:szCs w:val="24"/>
        </w:rPr>
        <w:t xml:space="preserve">” </w:t>
      </w:r>
      <w:r w:rsidRPr="008001E0">
        <w:rPr>
          <w:rFonts w:ascii="Times New Roman" w:hAnsi="Times New Roman" w:cs="Times New Roman"/>
          <w:b/>
          <w:bCs/>
          <w:sz w:val="18"/>
          <w:szCs w:val="24"/>
        </w:rPr>
        <w:t>kullanım ilkeleri</w:t>
      </w:r>
    </w:p>
    <w:p w:rsidR="002550A9" w:rsidRPr="002550A9" w:rsidRDefault="002550A9" w:rsidP="002550A9">
      <w:pPr>
        <w:spacing w:after="0" w:line="240" w:lineRule="auto"/>
        <w:ind w:firstLine="360"/>
        <w:jc w:val="both"/>
        <w:rPr>
          <w:rFonts w:ascii="Times New Roman" w:hAnsi="Times New Roman" w:cs="Times New Roman"/>
          <w:bCs/>
          <w:sz w:val="18"/>
          <w:szCs w:val="24"/>
        </w:rPr>
      </w:pPr>
      <w:r>
        <w:rPr>
          <w:rFonts w:ascii="Times New Roman" w:hAnsi="Times New Roman" w:cs="Times New Roman"/>
          <w:b/>
          <w:bCs/>
          <w:sz w:val="18"/>
          <w:szCs w:val="24"/>
        </w:rPr>
        <w:tab/>
      </w:r>
      <w:r w:rsidRPr="002550A9">
        <w:rPr>
          <w:rFonts w:ascii="Times New Roman" w:hAnsi="Times New Roman" w:cs="Times New Roman"/>
          <w:bCs/>
          <w:sz w:val="18"/>
          <w:szCs w:val="24"/>
        </w:rPr>
        <w:t>(1)</w:t>
      </w:r>
      <w:r>
        <w:rPr>
          <w:rFonts w:ascii="Times New Roman" w:hAnsi="Times New Roman" w:cs="Times New Roman"/>
          <w:b/>
          <w:bCs/>
          <w:sz w:val="18"/>
          <w:szCs w:val="24"/>
        </w:rPr>
        <w:t xml:space="preserve"> </w:t>
      </w:r>
      <w:r w:rsidRPr="002550A9">
        <w:rPr>
          <w:rFonts w:ascii="Times New Roman" w:hAnsi="Times New Roman" w:cs="Times New Roman"/>
          <w:bCs/>
          <w:sz w:val="18"/>
          <w:szCs w:val="24"/>
        </w:rPr>
        <w:t xml:space="preserve">Başlangıç </w:t>
      </w:r>
      <w:r>
        <w:rPr>
          <w:rFonts w:ascii="Times New Roman" w:hAnsi="Times New Roman" w:cs="Times New Roman"/>
          <w:bCs/>
          <w:sz w:val="18"/>
          <w:szCs w:val="24"/>
        </w:rPr>
        <w:t>k</w:t>
      </w:r>
      <w:r w:rsidRPr="002550A9">
        <w:rPr>
          <w:rFonts w:ascii="Times New Roman" w:hAnsi="Times New Roman" w:cs="Times New Roman"/>
          <w:bCs/>
          <w:sz w:val="18"/>
          <w:szCs w:val="24"/>
        </w:rPr>
        <w:t xml:space="preserve">riterleri: </w:t>
      </w:r>
    </w:p>
    <w:p w:rsidR="002550A9" w:rsidRPr="008001E0" w:rsidRDefault="002550A9" w:rsidP="002550A9">
      <w:pPr>
        <w:spacing w:after="0" w:line="240" w:lineRule="auto"/>
        <w:ind w:left="360"/>
        <w:jc w:val="both"/>
        <w:rPr>
          <w:rFonts w:ascii="Times New Roman" w:hAnsi="Times New Roman" w:cs="Times New Roman"/>
          <w:bCs/>
          <w:sz w:val="18"/>
          <w:szCs w:val="24"/>
        </w:rPr>
      </w:pPr>
      <w:r>
        <w:rPr>
          <w:rFonts w:ascii="Times New Roman" w:hAnsi="Times New Roman" w:cs="Times New Roman"/>
          <w:bCs/>
          <w:sz w:val="18"/>
          <w:szCs w:val="24"/>
        </w:rPr>
        <w:t xml:space="preserve">        1) </w:t>
      </w:r>
      <w:proofErr w:type="spellStart"/>
      <w:r w:rsidRPr="008001E0">
        <w:rPr>
          <w:rFonts w:ascii="Times New Roman" w:hAnsi="Times New Roman" w:cs="Times New Roman"/>
          <w:bCs/>
          <w:sz w:val="18"/>
          <w:szCs w:val="24"/>
        </w:rPr>
        <w:t>Kistik</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fibrozis</w:t>
      </w:r>
      <w:proofErr w:type="spellEnd"/>
      <w:r w:rsidRPr="008001E0">
        <w:rPr>
          <w:rFonts w:ascii="Times New Roman" w:hAnsi="Times New Roman" w:cs="Times New Roman"/>
          <w:bCs/>
          <w:sz w:val="18"/>
          <w:szCs w:val="24"/>
        </w:rPr>
        <w:t xml:space="preserve"> tanısı alan:</w:t>
      </w:r>
    </w:p>
    <w:p w:rsidR="002550A9" w:rsidRPr="008001E0" w:rsidRDefault="002550A9" w:rsidP="002550A9">
      <w:pPr>
        <w:spacing w:after="0" w:line="240" w:lineRule="auto"/>
        <w:ind w:firstLine="720"/>
        <w:jc w:val="both"/>
        <w:rPr>
          <w:rFonts w:ascii="Times New Roman" w:hAnsi="Times New Roman" w:cs="Times New Roman"/>
          <w:bCs/>
          <w:sz w:val="18"/>
          <w:szCs w:val="24"/>
        </w:rPr>
      </w:pPr>
      <w:r>
        <w:rPr>
          <w:rFonts w:ascii="Times New Roman" w:hAnsi="Times New Roman" w:cs="Times New Roman"/>
          <w:bCs/>
          <w:sz w:val="18"/>
          <w:szCs w:val="24"/>
        </w:rPr>
        <w:t xml:space="preserve">a) </w:t>
      </w:r>
      <w:proofErr w:type="spellStart"/>
      <w:r w:rsidRPr="008001E0">
        <w:rPr>
          <w:rFonts w:ascii="Times New Roman" w:hAnsi="Times New Roman" w:cs="Times New Roman"/>
          <w:bCs/>
          <w:sz w:val="18"/>
          <w:szCs w:val="24"/>
        </w:rPr>
        <w:t>Kistik</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fibrozise</w:t>
      </w:r>
      <w:proofErr w:type="spellEnd"/>
      <w:r w:rsidRPr="008001E0">
        <w:rPr>
          <w:rFonts w:ascii="Times New Roman" w:hAnsi="Times New Roman" w:cs="Times New Roman"/>
          <w:bCs/>
          <w:sz w:val="18"/>
          <w:szCs w:val="24"/>
        </w:rPr>
        <w:t xml:space="preserve"> ait klinik bulgularının olduğu raporda belirtilen veya </w:t>
      </w:r>
      <w:proofErr w:type="spellStart"/>
      <w:r w:rsidRPr="008001E0">
        <w:rPr>
          <w:rFonts w:ascii="Times New Roman" w:hAnsi="Times New Roman" w:cs="Times New Roman"/>
          <w:bCs/>
          <w:sz w:val="18"/>
          <w:szCs w:val="24"/>
        </w:rPr>
        <w:t>kistik</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fibrozis</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yenidoğan</w:t>
      </w:r>
      <w:proofErr w:type="spellEnd"/>
      <w:r w:rsidRPr="008001E0">
        <w:rPr>
          <w:rFonts w:ascii="Times New Roman" w:hAnsi="Times New Roman" w:cs="Times New Roman"/>
          <w:bCs/>
          <w:sz w:val="18"/>
          <w:szCs w:val="24"/>
        </w:rPr>
        <w:t xml:space="preserve"> tarama testi pozitif olan,  </w:t>
      </w:r>
    </w:p>
    <w:p w:rsidR="002550A9" w:rsidRPr="008001E0" w:rsidRDefault="002550A9" w:rsidP="002550A9">
      <w:pPr>
        <w:spacing w:after="0" w:line="240" w:lineRule="auto"/>
        <w:ind w:firstLine="720"/>
        <w:jc w:val="both"/>
        <w:rPr>
          <w:rFonts w:ascii="Times New Roman" w:hAnsi="Times New Roman" w:cs="Times New Roman"/>
          <w:bCs/>
          <w:sz w:val="18"/>
          <w:szCs w:val="24"/>
        </w:rPr>
      </w:pPr>
      <w:r>
        <w:rPr>
          <w:rFonts w:ascii="Times New Roman" w:hAnsi="Times New Roman" w:cs="Times New Roman"/>
          <w:bCs/>
          <w:sz w:val="18"/>
          <w:szCs w:val="24"/>
        </w:rPr>
        <w:t xml:space="preserve">b) </w:t>
      </w:r>
      <w:r w:rsidRPr="008001E0">
        <w:rPr>
          <w:rFonts w:ascii="Times New Roman" w:hAnsi="Times New Roman" w:cs="Times New Roman"/>
          <w:bCs/>
          <w:sz w:val="18"/>
          <w:szCs w:val="24"/>
        </w:rPr>
        <w:t xml:space="preserve">İki kez yapılan ter testi sonucu normal değerlerin üzerinde (klor değeri ≥60 </w:t>
      </w:r>
      <w:proofErr w:type="spellStart"/>
      <w:r w:rsidRPr="008001E0">
        <w:rPr>
          <w:rFonts w:ascii="Times New Roman" w:hAnsi="Times New Roman" w:cs="Times New Roman"/>
          <w:bCs/>
          <w:sz w:val="18"/>
          <w:szCs w:val="24"/>
        </w:rPr>
        <w:t>mmol</w:t>
      </w:r>
      <w:proofErr w:type="spellEnd"/>
      <w:r w:rsidRPr="008001E0">
        <w:rPr>
          <w:rFonts w:ascii="Times New Roman" w:hAnsi="Times New Roman" w:cs="Times New Roman"/>
          <w:bCs/>
          <w:sz w:val="18"/>
          <w:szCs w:val="24"/>
        </w:rPr>
        <w:t xml:space="preserve">/L veya </w:t>
      </w:r>
      <w:proofErr w:type="spellStart"/>
      <w:r w:rsidRPr="008001E0">
        <w:rPr>
          <w:rFonts w:ascii="Times New Roman" w:hAnsi="Times New Roman" w:cs="Times New Roman"/>
          <w:bCs/>
          <w:sz w:val="18"/>
          <w:szCs w:val="24"/>
        </w:rPr>
        <w:t>kondüktivite</w:t>
      </w:r>
      <w:proofErr w:type="spellEnd"/>
      <w:r w:rsidRPr="008001E0">
        <w:rPr>
          <w:rFonts w:ascii="Times New Roman" w:hAnsi="Times New Roman" w:cs="Times New Roman"/>
          <w:bCs/>
          <w:sz w:val="18"/>
          <w:szCs w:val="24"/>
        </w:rPr>
        <w:t xml:space="preserve"> değeri ise ≥90 </w:t>
      </w:r>
      <w:proofErr w:type="spellStart"/>
      <w:r w:rsidRPr="008001E0">
        <w:rPr>
          <w:rFonts w:ascii="Times New Roman" w:hAnsi="Times New Roman" w:cs="Times New Roman"/>
          <w:bCs/>
          <w:sz w:val="18"/>
          <w:szCs w:val="24"/>
        </w:rPr>
        <w:t>mmol</w:t>
      </w:r>
      <w:proofErr w:type="spellEnd"/>
      <w:r w:rsidRPr="008001E0">
        <w:rPr>
          <w:rFonts w:ascii="Times New Roman" w:hAnsi="Times New Roman" w:cs="Times New Roman"/>
          <w:bCs/>
          <w:sz w:val="18"/>
          <w:szCs w:val="24"/>
        </w:rPr>
        <w:t xml:space="preserve">/L) olan veya </w:t>
      </w:r>
      <w:proofErr w:type="spellStart"/>
      <w:r w:rsidRPr="008001E0">
        <w:rPr>
          <w:rFonts w:ascii="Times New Roman" w:hAnsi="Times New Roman" w:cs="Times New Roman"/>
          <w:bCs/>
          <w:sz w:val="18"/>
          <w:szCs w:val="24"/>
        </w:rPr>
        <w:t>kistik</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fibrozise</w:t>
      </w:r>
      <w:proofErr w:type="spellEnd"/>
      <w:r w:rsidRPr="008001E0">
        <w:rPr>
          <w:rFonts w:ascii="Times New Roman" w:hAnsi="Times New Roman" w:cs="Times New Roman"/>
          <w:bCs/>
          <w:sz w:val="18"/>
          <w:szCs w:val="24"/>
        </w:rPr>
        <w:t xml:space="preserve"> neden olan 2 KFTR (</w:t>
      </w:r>
      <w:proofErr w:type="spellStart"/>
      <w:r w:rsidRPr="008001E0">
        <w:rPr>
          <w:rFonts w:ascii="Times New Roman" w:hAnsi="Times New Roman" w:cs="Times New Roman"/>
          <w:bCs/>
          <w:sz w:val="18"/>
          <w:szCs w:val="24"/>
        </w:rPr>
        <w:t>Kistik</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Fibrozis</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Transmembran</w:t>
      </w:r>
      <w:proofErr w:type="spellEnd"/>
      <w:r w:rsidRPr="008001E0">
        <w:rPr>
          <w:rFonts w:ascii="Times New Roman" w:hAnsi="Times New Roman" w:cs="Times New Roman"/>
          <w:bCs/>
          <w:sz w:val="18"/>
          <w:szCs w:val="24"/>
        </w:rPr>
        <w:t xml:space="preserve"> Regülatör) varyantı olan (CFTR2 veya CF France isimli </w:t>
      </w:r>
      <w:proofErr w:type="spellStart"/>
      <w:r w:rsidRPr="008001E0">
        <w:rPr>
          <w:rFonts w:ascii="Times New Roman" w:hAnsi="Times New Roman" w:cs="Times New Roman"/>
          <w:bCs/>
          <w:sz w:val="18"/>
          <w:szCs w:val="24"/>
        </w:rPr>
        <w:t>kistik</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fibrozis</w:t>
      </w:r>
      <w:proofErr w:type="spellEnd"/>
      <w:r w:rsidRPr="008001E0">
        <w:rPr>
          <w:rFonts w:ascii="Times New Roman" w:hAnsi="Times New Roman" w:cs="Times New Roman"/>
          <w:bCs/>
          <w:sz w:val="18"/>
          <w:szCs w:val="24"/>
        </w:rPr>
        <w:t xml:space="preserve"> veri tabanlarından güncel kanıtının olduğu raporda belirtilen), </w:t>
      </w:r>
    </w:p>
    <w:p w:rsidR="002550A9" w:rsidRPr="008001E0" w:rsidRDefault="002550A9" w:rsidP="002550A9">
      <w:pPr>
        <w:spacing w:after="0" w:line="240" w:lineRule="auto"/>
        <w:jc w:val="both"/>
        <w:rPr>
          <w:rFonts w:ascii="Times New Roman" w:hAnsi="Times New Roman" w:cs="Times New Roman"/>
          <w:bCs/>
          <w:sz w:val="18"/>
          <w:szCs w:val="24"/>
        </w:rPr>
      </w:pPr>
      <w:r w:rsidRPr="008001E0">
        <w:rPr>
          <w:rFonts w:ascii="Times New Roman" w:hAnsi="Times New Roman" w:cs="Times New Roman"/>
          <w:bCs/>
          <w:sz w:val="18"/>
          <w:szCs w:val="24"/>
        </w:rPr>
        <w:t xml:space="preserve">      </w:t>
      </w:r>
      <w:r>
        <w:rPr>
          <w:rFonts w:ascii="Times New Roman" w:hAnsi="Times New Roman" w:cs="Times New Roman"/>
          <w:bCs/>
          <w:sz w:val="18"/>
          <w:szCs w:val="24"/>
        </w:rPr>
        <w:t xml:space="preserve">          </w:t>
      </w:r>
      <w:r w:rsidRPr="008001E0">
        <w:rPr>
          <w:rFonts w:ascii="Times New Roman" w:hAnsi="Times New Roman" w:cs="Times New Roman"/>
          <w:bCs/>
          <w:sz w:val="18"/>
          <w:szCs w:val="24"/>
        </w:rPr>
        <w:t>2) Genetik testin yapıldığı merkezin, test raporu tarihinin ve numarasının raporda yer aldığı, en az bir F508del mutasyonu olan veya KFTR</w:t>
      </w:r>
      <w:r w:rsidR="00BC79BF">
        <w:rPr>
          <w:rFonts w:ascii="Times New Roman" w:hAnsi="Times New Roman" w:cs="Times New Roman"/>
          <w:bCs/>
          <w:sz w:val="18"/>
          <w:szCs w:val="24"/>
        </w:rPr>
        <w:t xml:space="preserve"> </w:t>
      </w:r>
      <w:r w:rsidRPr="008001E0">
        <w:rPr>
          <w:rFonts w:ascii="Times New Roman" w:hAnsi="Times New Roman" w:cs="Times New Roman"/>
          <w:bCs/>
          <w:sz w:val="18"/>
          <w:szCs w:val="24"/>
        </w:rPr>
        <w:t>(</w:t>
      </w:r>
      <w:proofErr w:type="spellStart"/>
      <w:r w:rsidRPr="008001E0">
        <w:rPr>
          <w:rFonts w:ascii="Times New Roman" w:hAnsi="Times New Roman" w:cs="Times New Roman"/>
          <w:bCs/>
          <w:sz w:val="18"/>
          <w:szCs w:val="24"/>
        </w:rPr>
        <w:t>Kistik</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Fibrozis</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Transmembran</w:t>
      </w:r>
      <w:proofErr w:type="spellEnd"/>
      <w:r w:rsidRPr="008001E0">
        <w:rPr>
          <w:rFonts w:ascii="Times New Roman" w:hAnsi="Times New Roman" w:cs="Times New Roman"/>
          <w:bCs/>
          <w:sz w:val="18"/>
          <w:szCs w:val="24"/>
        </w:rPr>
        <w:t xml:space="preserve"> Regülatör) geninde ilacın etkinliğinin gösterildiği en az bir varyantı olan,</w:t>
      </w:r>
    </w:p>
    <w:p w:rsidR="002550A9" w:rsidRPr="008001E0" w:rsidRDefault="002550A9" w:rsidP="002550A9">
      <w:pPr>
        <w:tabs>
          <w:tab w:val="left" w:pos="709"/>
        </w:tabs>
        <w:spacing w:after="0" w:line="240" w:lineRule="auto"/>
        <w:jc w:val="both"/>
        <w:rPr>
          <w:rFonts w:ascii="Times New Roman" w:hAnsi="Times New Roman" w:cs="Times New Roman"/>
          <w:bCs/>
          <w:sz w:val="18"/>
          <w:szCs w:val="24"/>
        </w:rPr>
      </w:pPr>
      <w:r w:rsidRPr="008001E0">
        <w:rPr>
          <w:rFonts w:ascii="Times New Roman" w:hAnsi="Times New Roman" w:cs="Times New Roman"/>
          <w:bCs/>
          <w:sz w:val="18"/>
          <w:szCs w:val="24"/>
        </w:rPr>
        <w:t xml:space="preserve">      </w:t>
      </w:r>
      <w:r>
        <w:rPr>
          <w:rFonts w:ascii="Times New Roman" w:hAnsi="Times New Roman" w:cs="Times New Roman"/>
          <w:bCs/>
          <w:sz w:val="18"/>
          <w:szCs w:val="24"/>
        </w:rPr>
        <w:t xml:space="preserve">          </w:t>
      </w:r>
      <w:r w:rsidRPr="008001E0">
        <w:rPr>
          <w:rFonts w:ascii="Times New Roman" w:hAnsi="Times New Roman" w:cs="Times New Roman"/>
          <w:bCs/>
          <w:sz w:val="18"/>
          <w:szCs w:val="24"/>
        </w:rPr>
        <w:t xml:space="preserve">3)  2 yaş ve üzeri olan, </w:t>
      </w:r>
    </w:p>
    <w:p w:rsidR="002550A9" w:rsidRPr="008001E0" w:rsidRDefault="002550A9" w:rsidP="00DB7BE1">
      <w:pPr>
        <w:spacing w:after="0" w:line="240" w:lineRule="auto"/>
        <w:ind w:firstLine="708"/>
        <w:jc w:val="both"/>
        <w:rPr>
          <w:rFonts w:ascii="Times New Roman" w:hAnsi="Times New Roman" w:cs="Times New Roman"/>
          <w:bCs/>
          <w:sz w:val="18"/>
          <w:szCs w:val="24"/>
        </w:rPr>
      </w:pPr>
      <w:proofErr w:type="gramStart"/>
      <w:r w:rsidRPr="008001E0">
        <w:rPr>
          <w:rFonts w:ascii="Times New Roman" w:hAnsi="Times New Roman" w:cs="Times New Roman"/>
          <w:bCs/>
          <w:sz w:val="18"/>
          <w:szCs w:val="24"/>
        </w:rPr>
        <w:t>yukar</w:t>
      </w:r>
      <w:r>
        <w:rPr>
          <w:rFonts w:ascii="Times New Roman" w:hAnsi="Times New Roman" w:cs="Times New Roman"/>
          <w:bCs/>
          <w:sz w:val="18"/>
          <w:szCs w:val="24"/>
        </w:rPr>
        <w:t>ı</w:t>
      </w:r>
      <w:r w:rsidRPr="008001E0">
        <w:rPr>
          <w:rFonts w:ascii="Times New Roman" w:hAnsi="Times New Roman" w:cs="Times New Roman"/>
          <w:bCs/>
          <w:sz w:val="18"/>
          <w:szCs w:val="24"/>
        </w:rPr>
        <w:t>da</w:t>
      </w:r>
      <w:proofErr w:type="gramEnd"/>
      <w:r w:rsidRPr="008001E0">
        <w:rPr>
          <w:rFonts w:ascii="Times New Roman" w:hAnsi="Times New Roman" w:cs="Times New Roman"/>
          <w:bCs/>
          <w:sz w:val="18"/>
          <w:szCs w:val="24"/>
        </w:rPr>
        <w:t xml:space="preserve"> yer verilen kriterleri birlikte karşılayan hastalarda tedaviye başlanır.</w:t>
      </w:r>
    </w:p>
    <w:p w:rsidR="00296E6E" w:rsidRDefault="002550A9" w:rsidP="00F972FE">
      <w:pPr>
        <w:spacing w:after="0" w:line="240" w:lineRule="auto"/>
        <w:ind w:firstLine="708"/>
        <w:jc w:val="both"/>
        <w:rPr>
          <w:rFonts w:ascii="Times New Roman" w:hAnsi="Times New Roman" w:cs="Times New Roman"/>
          <w:bCs/>
          <w:sz w:val="18"/>
          <w:szCs w:val="24"/>
        </w:rPr>
      </w:pPr>
      <w:proofErr w:type="spellStart"/>
      <w:r w:rsidRPr="008001E0">
        <w:rPr>
          <w:rFonts w:ascii="Times New Roman" w:hAnsi="Times New Roman" w:cs="Times New Roman"/>
          <w:bCs/>
          <w:sz w:val="18"/>
          <w:szCs w:val="24"/>
        </w:rPr>
        <w:t>Kistik</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fibrozis</w:t>
      </w:r>
      <w:proofErr w:type="spellEnd"/>
      <w:r w:rsidRPr="008001E0">
        <w:rPr>
          <w:rFonts w:ascii="Times New Roman" w:hAnsi="Times New Roman" w:cs="Times New Roman"/>
          <w:bCs/>
          <w:sz w:val="18"/>
          <w:szCs w:val="24"/>
        </w:rPr>
        <w:t xml:space="preserve"> </w:t>
      </w:r>
      <w:proofErr w:type="spellStart"/>
      <w:r w:rsidRPr="008001E0">
        <w:rPr>
          <w:rFonts w:ascii="Times New Roman" w:hAnsi="Times New Roman" w:cs="Times New Roman"/>
          <w:bCs/>
          <w:sz w:val="18"/>
          <w:szCs w:val="24"/>
        </w:rPr>
        <w:t>yenidoğan</w:t>
      </w:r>
      <w:proofErr w:type="spellEnd"/>
      <w:r w:rsidRPr="008001E0">
        <w:rPr>
          <w:rFonts w:ascii="Times New Roman" w:hAnsi="Times New Roman" w:cs="Times New Roman"/>
          <w:bCs/>
          <w:sz w:val="18"/>
          <w:szCs w:val="24"/>
        </w:rPr>
        <w:t xml:space="preserve"> taraması pozitif, tanısı belirsiz hastalarda (KFKOT/CFSPID) ve KFTR-ilişkili hastalarda (KFTR-İH/ CFTR-RD) tedaviye başlanmaz.</w:t>
      </w:r>
      <w:r w:rsidR="00DB7BE1">
        <w:rPr>
          <w:rFonts w:ascii="Times New Roman" w:hAnsi="Times New Roman" w:cs="Times New Roman"/>
          <w:bCs/>
          <w:sz w:val="18"/>
          <w:szCs w:val="24"/>
        </w:rPr>
        <w:t xml:space="preserve"> </w:t>
      </w:r>
      <w:r w:rsidRPr="008001E0">
        <w:rPr>
          <w:rFonts w:ascii="Times New Roman" w:hAnsi="Times New Roman" w:cs="Times New Roman"/>
          <w:bCs/>
          <w:sz w:val="18"/>
          <w:szCs w:val="24"/>
        </w:rPr>
        <w:t xml:space="preserve">CHILD- PUGH </w:t>
      </w:r>
      <w:proofErr w:type="spellStart"/>
      <w:r w:rsidRPr="008001E0">
        <w:rPr>
          <w:rFonts w:ascii="Times New Roman" w:hAnsi="Times New Roman" w:cs="Times New Roman"/>
          <w:bCs/>
          <w:sz w:val="18"/>
          <w:szCs w:val="24"/>
        </w:rPr>
        <w:t>skorlamasına</w:t>
      </w:r>
      <w:proofErr w:type="spellEnd"/>
      <w:r w:rsidRPr="008001E0">
        <w:rPr>
          <w:rFonts w:ascii="Times New Roman" w:hAnsi="Times New Roman" w:cs="Times New Roman"/>
          <w:bCs/>
          <w:sz w:val="18"/>
          <w:szCs w:val="24"/>
        </w:rPr>
        <w:t xml:space="preserve"> göre grup C ağır karaciğer hastalığı olanlarda tedaviye başlanmaz.</w:t>
      </w:r>
      <w:r w:rsidR="00DB7BE1">
        <w:rPr>
          <w:rFonts w:ascii="Times New Roman" w:hAnsi="Times New Roman" w:cs="Times New Roman"/>
          <w:bCs/>
          <w:sz w:val="18"/>
          <w:szCs w:val="24"/>
        </w:rPr>
        <w:t xml:space="preserve"> </w:t>
      </w:r>
    </w:p>
    <w:p w:rsidR="002550A9" w:rsidRPr="008001E0" w:rsidRDefault="002550A9" w:rsidP="00F972FE">
      <w:pPr>
        <w:spacing w:after="0" w:line="240" w:lineRule="auto"/>
        <w:ind w:firstLine="708"/>
        <w:jc w:val="both"/>
        <w:rPr>
          <w:rFonts w:ascii="Times New Roman" w:hAnsi="Times New Roman" w:cs="Times New Roman"/>
          <w:bCs/>
          <w:sz w:val="18"/>
          <w:szCs w:val="24"/>
        </w:rPr>
      </w:pPr>
      <w:r w:rsidRPr="008001E0">
        <w:rPr>
          <w:rFonts w:ascii="Times New Roman" w:hAnsi="Times New Roman" w:cs="Times New Roman"/>
          <w:bCs/>
          <w:sz w:val="18"/>
          <w:szCs w:val="24"/>
        </w:rPr>
        <w:t xml:space="preserve">Tedavi başlamadan önceki son 6 ay içerisinde ter testi değeri, akut </w:t>
      </w:r>
      <w:proofErr w:type="spellStart"/>
      <w:r w:rsidRPr="008001E0">
        <w:rPr>
          <w:rFonts w:ascii="Times New Roman" w:hAnsi="Times New Roman" w:cs="Times New Roman"/>
          <w:bCs/>
          <w:sz w:val="18"/>
          <w:szCs w:val="24"/>
        </w:rPr>
        <w:t>pulmoner</w:t>
      </w:r>
      <w:proofErr w:type="spellEnd"/>
      <w:r w:rsidRPr="008001E0">
        <w:rPr>
          <w:rFonts w:ascii="Times New Roman" w:hAnsi="Times New Roman" w:cs="Times New Roman"/>
          <w:bCs/>
          <w:sz w:val="18"/>
          <w:szCs w:val="24"/>
        </w:rPr>
        <w:t xml:space="preserve"> alevlenme sıklığı, solunum fonksiyon testine </w:t>
      </w:r>
      <w:proofErr w:type="spellStart"/>
      <w:r w:rsidRPr="008001E0">
        <w:rPr>
          <w:rFonts w:ascii="Times New Roman" w:hAnsi="Times New Roman" w:cs="Times New Roman"/>
          <w:bCs/>
          <w:sz w:val="18"/>
          <w:szCs w:val="24"/>
        </w:rPr>
        <w:t>koopere</w:t>
      </w:r>
      <w:proofErr w:type="spellEnd"/>
      <w:r w:rsidRPr="008001E0">
        <w:rPr>
          <w:rFonts w:ascii="Times New Roman" w:hAnsi="Times New Roman" w:cs="Times New Roman"/>
          <w:bCs/>
          <w:sz w:val="18"/>
          <w:szCs w:val="24"/>
        </w:rPr>
        <w:t xml:space="preserve"> olan hastalarda tedavi başlanmadan önceki son 3 ay içinde FEV1 değeri kaydedilir ve raporda belirtilir.  </w:t>
      </w:r>
    </w:p>
    <w:p w:rsidR="002550A9" w:rsidRPr="002550A9" w:rsidRDefault="002550A9" w:rsidP="002550A9">
      <w:pPr>
        <w:spacing w:after="0" w:line="240" w:lineRule="auto"/>
        <w:ind w:firstLine="708"/>
        <w:jc w:val="both"/>
        <w:rPr>
          <w:rFonts w:ascii="Times New Roman" w:hAnsi="Times New Roman" w:cs="Times New Roman"/>
          <w:bCs/>
          <w:sz w:val="18"/>
          <w:szCs w:val="24"/>
        </w:rPr>
      </w:pPr>
      <w:r w:rsidRPr="002550A9">
        <w:rPr>
          <w:rFonts w:ascii="Times New Roman" w:hAnsi="Times New Roman" w:cs="Times New Roman"/>
          <w:bCs/>
          <w:sz w:val="18"/>
          <w:szCs w:val="24"/>
        </w:rPr>
        <w:t>(2) Devam kriterleri:</w:t>
      </w:r>
    </w:p>
    <w:p w:rsidR="002550A9" w:rsidRPr="008001E0" w:rsidRDefault="002550A9" w:rsidP="002550A9">
      <w:pPr>
        <w:spacing w:after="0" w:line="240" w:lineRule="auto"/>
        <w:jc w:val="both"/>
        <w:rPr>
          <w:rFonts w:ascii="Times New Roman" w:hAnsi="Times New Roman" w:cs="Times New Roman"/>
          <w:bCs/>
          <w:sz w:val="18"/>
          <w:szCs w:val="24"/>
        </w:rPr>
      </w:pPr>
      <w:r>
        <w:rPr>
          <w:rFonts w:ascii="Times New Roman" w:hAnsi="Times New Roman" w:cs="Times New Roman"/>
          <w:bCs/>
          <w:sz w:val="18"/>
          <w:szCs w:val="24"/>
        </w:rPr>
        <w:t xml:space="preserve">               </w:t>
      </w:r>
      <w:r w:rsidRPr="008001E0">
        <w:rPr>
          <w:rFonts w:ascii="Times New Roman" w:hAnsi="Times New Roman" w:cs="Times New Roman"/>
          <w:bCs/>
          <w:sz w:val="18"/>
          <w:szCs w:val="24"/>
        </w:rPr>
        <w:t>Tedavi başlangıcından itibaren 6. ayda yapılan değerlendirmede;</w:t>
      </w:r>
    </w:p>
    <w:p w:rsidR="002550A9" w:rsidRPr="008001E0" w:rsidRDefault="002550A9" w:rsidP="002550A9">
      <w:pPr>
        <w:spacing w:after="0" w:line="240" w:lineRule="auto"/>
        <w:ind w:left="360"/>
        <w:jc w:val="both"/>
        <w:rPr>
          <w:rFonts w:ascii="Times New Roman" w:hAnsi="Times New Roman" w:cs="Times New Roman"/>
          <w:bCs/>
          <w:sz w:val="18"/>
          <w:szCs w:val="24"/>
        </w:rPr>
      </w:pPr>
      <w:r>
        <w:rPr>
          <w:rFonts w:ascii="Times New Roman" w:hAnsi="Times New Roman" w:cs="Times New Roman"/>
          <w:bCs/>
          <w:sz w:val="18"/>
          <w:szCs w:val="24"/>
        </w:rPr>
        <w:t xml:space="preserve">       1) </w:t>
      </w:r>
      <w:r w:rsidRPr="008001E0">
        <w:rPr>
          <w:rFonts w:ascii="Times New Roman" w:hAnsi="Times New Roman" w:cs="Times New Roman"/>
          <w:bCs/>
          <w:sz w:val="18"/>
          <w:szCs w:val="24"/>
        </w:rPr>
        <w:t xml:space="preserve">Ter testi değerinin tedavi başlangıcında belirtilen değerden en az %20 azalması veya 20 </w:t>
      </w:r>
      <w:proofErr w:type="spellStart"/>
      <w:r w:rsidRPr="008001E0">
        <w:rPr>
          <w:rFonts w:ascii="Times New Roman" w:hAnsi="Times New Roman" w:cs="Times New Roman"/>
          <w:bCs/>
          <w:sz w:val="18"/>
          <w:szCs w:val="24"/>
        </w:rPr>
        <w:t>mmol</w:t>
      </w:r>
      <w:proofErr w:type="spellEnd"/>
      <w:r w:rsidRPr="008001E0">
        <w:rPr>
          <w:rFonts w:ascii="Times New Roman" w:hAnsi="Times New Roman" w:cs="Times New Roman"/>
          <w:bCs/>
          <w:sz w:val="18"/>
          <w:szCs w:val="24"/>
        </w:rPr>
        <w:t>/L azalması,</w:t>
      </w:r>
    </w:p>
    <w:p w:rsidR="002550A9" w:rsidRPr="008001E0" w:rsidRDefault="002550A9" w:rsidP="002550A9">
      <w:pPr>
        <w:spacing w:after="0" w:line="240" w:lineRule="auto"/>
        <w:ind w:firstLine="360"/>
        <w:jc w:val="both"/>
        <w:rPr>
          <w:rFonts w:ascii="Times New Roman" w:hAnsi="Times New Roman" w:cs="Times New Roman"/>
          <w:bCs/>
          <w:sz w:val="18"/>
          <w:szCs w:val="24"/>
        </w:rPr>
      </w:pPr>
      <w:r>
        <w:rPr>
          <w:rFonts w:ascii="Times New Roman" w:hAnsi="Times New Roman" w:cs="Times New Roman"/>
          <w:bCs/>
          <w:sz w:val="18"/>
          <w:szCs w:val="24"/>
        </w:rPr>
        <w:t xml:space="preserve">       2) </w:t>
      </w:r>
      <w:r w:rsidRPr="008001E0">
        <w:rPr>
          <w:rFonts w:ascii="Times New Roman" w:hAnsi="Times New Roman" w:cs="Times New Roman"/>
          <w:bCs/>
          <w:sz w:val="18"/>
          <w:szCs w:val="24"/>
        </w:rPr>
        <w:t>Hastanın klinik olarak stabil olduğu dönemde yapılan solunum fonksiyon testinde başlangıç değerine göre FEV1 yüzdesinde en az %5 artış olması,</w:t>
      </w:r>
    </w:p>
    <w:p w:rsidR="002550A9" w:rsidRPr="008001E0" w:rsidRDefault="002550A9" w:rsidP="002550A9">
      <w:pPr>
        <w:spacing w:after="0" w:line="240" w:lineRule="auto"/>
        <w:ind w:left="360"/>
        <w:jc w:val="both"/>
        <w:rPr>
          <w:rFonts w:ascii="Times New Roman" w:hAnsi="Times New Roman" w:cs="Times New Roman"/>
          <w:bCs/>
          <w:sz w:val="18"/>
          <w:szCs w:val="24"/>
        </w:rPr>
      </w:pPr>
      <w:r>
        <w:rPr>
          <w:rFonts w:ascii="Times New Roman" w:hAnsi="Times New Roman" w:cs="Times New Roman"/>
          <w:bCs/>
          <w:sz w:val="18"/>
          <w:szCs w:val="24"/>
        </w:rPr>
        <w:t xml:space="preserve">       3) </w:t>
      </w:r>
      <w:r w:rsidRPr="008001E0">
        <w:rPr>
          <w:rFonts w:ascii="Times New Roman" w:hAnsi="Times New Roman" w:cs="Times New Roman"/>
          <w:bCs/>
          <w:sz w:val="18"/>
          <w:szCs w:val="24"/>
        </w:rPr>
        <w:t xml:space="preserve">Hastanın tedavi öncesine göre akut </w:t>
      </w:r>
      <w:proofErr w:type="spellStart"/>
      <w:r w:rsidRPr="008001E0">
        <w:rPr>
          <w:rFonts w:ascii="Times New Roman" w:hAnsi="Times New Roman" w:cs="Times New Roman"/>
          <w:bCs/>
          <w:sz w:val="18"/>
          <w:szCs w:val="24"/>
        </w:rPr>
        <w:t>pulmoner</w:t>
      </w:r>
      <w:proofErr w:type="spellEnd"/>
      <w:r w:rsidRPr="008001E0">
        <w:rPr>
          <w:rFonts w:ascii="Times New Roman" w:hAnsi="Times New Roman" w:cs="Times New Roman"/>
          <w:bCs/>
          <w:sz w:val="18"/>
          <w:szCs w:val="24"/>
        </w:rPr>
        <w:t xml:space="preserve"> alevlenme sıklığında en az %20 oranında azalma olması,</w:t>
      </w:r>
    </w:p>
    <w:p w:rsidR="002550A9" w:rsidRPr="008001E0" w:rsidRDefault="00DB7BE1" w:rsidP="00DA20B7">
      <w:pPr>
        <w:tabs>
          <w:tab w:val="left" w:pos="709"/>
        </w:tabs>
        <w:spacing w:after="0" w:line="240" w:lineRule="auto"/>
        <w:ind w:firstLine="360"/>
        <w:jc w:val="both"/>
        <w:rPr>
          <w:rFonts w:ascii="Times New Roman" w:hAnsi="Times New Roman" w:cs="Times New Roman"/>
          <w:bCs/>
          <w:sz w:val="18"/>
          <w:szCs w:val="24"/>
        </w:rPr>
      </w:pPr>
      <w:r>
        <w:rPr>
          <w:rFonts w:ascii="Times New Roman" w:hAnsi="Times New Roman" w:cs="Times New Roman"/>
          <w:bCs/>
          <w:sz w:val="18"/>
          <w:szCs w:val="24"/>
        </w:rPr>
        <w:t xml:space="preserve">       </w:t>
      </w:r>
      <w:proofErr w:type="gramStart"/>
      <w:r w:rsidR="002550A9" w:rsidRPr="008001E0">
        <w:rPr>
          <w:rFonts w:ascii="Times New Roman" w:hAnsi="Times New Roman" w:cs="Times New Roman"/>
          <w:bCs/>
          <w:sz w:val="18"/>
          <w:szCs w:val="24"/>
        </w:rPr>
        <w:t>yukarıdaki</w:t>
      </w:r>
      <w:proofErr w:type="gramEnd"/>
      <w:r w:rsidR="002550A9" w:rsidRPr="008001E0">
        <w:rPr>
          <w:rFonts w:ascii="Times New Roman" w:hAnsi="Times New Roman" w:cs="Times New Roman"/>
          <w:bCs/>
          <w:sz w:val="18"/>
          <w:szCs w:val="24"/>
        </w:rPr>
        <w:t xml:space="preserve"> kriterlerin en az birini karşılayan hastalarda tedaviye devam edilir. </w:t>
      </w:r>
    </w:p>
    <w:p w:rsidR="002550A9" w:rsidRPr="008001E0" w:rsidRDefault="00275364" w:rsidP="00275364">
      <w:pPr>
        <w:spacing w:after="0" w:line="240" w:lineRule="auto"/>
        <w:ind w:firstLine="360"/>
        <w:jc w:val="both"/>
        <w:rPr>
          <w:rFonts w:ascii="Times New Roman" w:hAnsi="Times New Roman" w:cs="Times New Roman"/>
          <w:bCs/>
          <w:sz w:val="18"/>
          <w:szCs w:val="24"/>
        </w:rPr>
      </w:pPr>
      <w:r>
        <w:rPr>
          <w:rFonts w:ascii="Times New Roman" w:hAnsi="Times New Roman" w:cs="Times New Roman"/>
          <w:bCs/>
          <w:sz w:val="18"/>
          <w:szCs w:val="24"/>
        </w:rPr>
        <w:t xml:space="preserve">       </w:t>
      </w:r>
      <w:r w:rsidR="002550A9" w:rsidRPr="008001E0">
        <w:rPr>
          <w:rFonts w:ascii="Times New Roman" w:hAnsi="Times New Roman" w:cs="Times New Roman"/>
          <w:bCs/>
          <w:sz w:val="18"/>
          <w:szCs w:val="24"/>
        </w:rPr>
        <w:t xml:space="preserve">Sonraki 6 aylık takiplerde başlangıca göre tedaviden fayda sağlandığının raporda belirtilmesi koşuluyla tedaviye devam edilir.  </w:t>
      </w:r>
    </w:p>
    <w:p w:rsidR="00C87357" w:rsidRDefault="003F669C" w:rsidP="003F669C">
      <w:pPr>
        <w:tabs>
          <w:tab w:val="left" w:pos="709"/>
        </w:tabs>
        <w:spacing w:after="0" w:line="240" w:lineRule="auto"/>
        <w:jc w:val="both"/>
        <w:rPr>
          <w:rFonts w:ascii="Times New Roman" w:hAnsi="Times New Roman" w:cs="Times New Roman"/>
          <w:bCs/>
          <w:sz w:val="18"/>
          <w:szCs w:val="24"/>
        </w:rPr>
      </w:pPr>
      <w:r>
        <w:rPr>
          <w:rFonts w:ascii="Times New Roman" w:hAnsi="Times New Roman" w:cs="Times New Roman"/>
          <w:bCs/>
          <w:sz w:val="18"/>
          <w:szCs w:val="24"/>
        </w:rPr>
        <w:t xml:space="preserve">               </w:t>
      </w:r>
      <w:r w:rsidR="002550A9" w:rsidRPr="002550A9">
        <w:rPr>
          <w:rFonts w:ascii="Times New Roman" w:hAnsi="Times New Roman" w:cs="Times New Roman"/>
          <w:bCs/>
          <w:sz w:val="18"/>
          <w:szCs w:val="24"/>
        </w:rPr>
        <w:t xml:space="preserve">(3) Sonlandırma </w:t>
      </w:r>
      <w:r w:rsidR="002550A9">
        <w:rPr>
          <w:rFonts w:ascii="Times New Roman" w:hAnsi="Times New Roman" w:cs="Times New Roman"/>
          <w:bCs/>
          <w:sz w:val="18"/>
          <w:szCs w:val="24"/>
        </w:rPr>
        <w:t>k</w:t>
      </w:r>
      <w:r w:rsidR="002550A9" w:rsidRPr="002550A9">
        <w:rPr>
          <w:rFonts w:ascii="Times New Roman" w:hAnsi="Times New Roman" w:cs="Times New Roman"/>
          <w:bCs/>
          <w:sz w:val="18"/>
          <w:szCs w:val="24"/>
        </w:rPr>
        <w:t xml:space="preserve">riterleri: </w:t>
      </w:r>
      <w:r w:rsidR="002550A9" w:rsidRPr="008001E0">
        <w:rPr>
          <w:rFonts w:ascii="Times New Roman" w:hAnsi="Times New Roman" w:cs="Times New Roman"/>
          <w:bCs/>
          <w:sz w:val="18"/>
          <w:szCs w:val="24"/>
        </w:rPr>
        <w:t>Devam kriterlerinden hiçbirini sağlamayan hastalarda tedavi sonlandırılır. Tedaviye 3 aydan fazla süre ile ara veren hastalarda başlangıç kriterleri aranır.</w:t>
      </w:r>
      <w:r w:rsidR="002550A9">
        <w:rPr>
          <w:rFonts w:ascii="Times New Roman" w:hAnsi="Times New Roman" w:cs="Times New Roman"/>
          <w:bCs/>
          <w:sz w:val="18"/>
          <w:szCs w:val="24"/>
        </w:rPr>
        <w:t xml:space="preserve"> </w:t>
      </w:r>
    </w:p>
    <w:p w:rsidR="002550A9" w:rsidRPr="008001E0" w:rsidRDefault="00C87357" w:rsidP="003F669C">
      <w:pPr>
        <w:tabs>
          <w:tab w:val="left" w:pos="709"/>
        </w:tabs>
        <w:spacing w:after="0" w:line="240" w:lineRule="auto"/>
        <w:jc w:val="both"/>
        <w:rPr>
          <w:rFonts w:ascii="Times New Roman" w:hAnsi="Times New Roman" w:cs="Times New Roman"/>
          <w:bCs/>
          <w:sz w:val="18"/>
          <w:szCs w:val="24"/>
        </w:rPr>
      </w:pPr>
      <w:r>
        <w:rPr>
          <w:rFonts w:ascii="Times New Roman" w:hAnsi="Times New Roman" w:cs="Times New Roman"/>
          <w:bCs/>
          <w:sz w:val="18"/>
          <w:szCs w:val="24"/>
        </w:rPr>
        <w:t xml:space="preserve">               </w:t>
      </w:r>
      <w:r w:rsidR="002550A9" w:rsidRPr="008001E0">
        <w:rPr>
          <w:rFonts w:ascii="Times New Roman" w:hAnsi="Times New Roman" w:cs="Times New Roman"/>
          <w:bCs/>
          <w:sz w:val="18"/>
          <w:szCs w:val="24"/>
        </w:rPr>
        <w:t xml:space="preserve">Bu düzenlemenin yürürlük tarihinden önce ilaca başlayan hastalarda ilaca başlangıç tarihinin ve başlangıç kriterlerine uygun olduğunu gösterir sonuçların tarihleriyle birlikte raporda yer alması gerekmektedir. Bu hastalar 6 aydan uzun süredir ilacı kullanıyor ise, tedavi süresi ile uyumlu devam kriterini sağladığının da raporda belirtilmesi ve bu kriterlerin tarih ve sonuçlarıyla birlikte raporda yer alması koşuluyla bedeli Kurumca karşılanır. </w:t>
      </w:r>
    </w:p>
    <w:p w:rsidR="002550A9" w:rsidRPr="00EB7AC4" w:rsidRDefault="002550A9" w:rsidP="00DB7BE1">
      <w:pPr>
        <w:spacing w:after="0" w:line="240" w:lineRule="auto"/>
        <w:ind w:firstLine="708"/>
        <w:jc w:val="both"/>
        <w:rPr>
          <w:rFonts w:ascii="Times New Roman" w:eastAsia="Times New Roman" w:hAnsi="Times New Roman" w:cs="Times New Roman"/>
          <w:bCs/>
          <w:sz w:val="18"/>
          <w:szCs w:val="18"/>
          <w:lang w:eastAsia="tr-TR"/>
        </w:rPr>
      </w:pPr>
      <w:r w:rsidRPr="002550A9">
        <w:rPr>
          <w:rFonts w:ascii="Times New Roman" w:hAnsi="Times New Roman" w:cs="Times New Roman"/>
          <w:bCs/>
          <w:sz w:val="18"/>
          <w:szCs w:val="24"/>
        </w:rPr>
        <w:t xml:space="preserve">(4) Rapor ve </w:t>
      </w:r>
      <w:proofErr w:type="spellStart"/>
      <w:r w:rsidRPr="002550A9">
        <w:rPr>
          <w:rFonts w:ascii="Times New Roman" w:hAnsi="Times New Roman" w:cs="Times New Roman"/>
          <w:bCs/>
          <w:sz w:val="18"/>
          <w:szCs w:val="24"/>
        </w:rPr>
        <w:t>reçeteleme</w:t>
      </w:r>
      <w:proofErr w:type="spellEnd"/>
      <w:r w:rsidRPr="002550A9">
        <w:rPr>
          <w:rFonts w:ascii="Times New Roman" w:hAnsi="Times New Roman" w:cs="Times New Roman"/>
          <w:bCs/>
          <w:sz w:val="18"/>
          <w:szCs w:val="24"/>
        </w:rPr>
        <w:t xml:space="preserve"> koşulları: </w:t>
      </w:r>
      <w:r w:rsidRPr="008001E0">
        <w:rPr>
          <w:rFonts w:ascii="Times New Roman" w:hAnsi="Times New Roman" w:cs="Times New Roman"/>
          <w:bCs/>
          <w:sz w:val="18"/>
          <w:szCs w:val="24"/>
        </w:rPr>
        <w:t>Üçüncü basamak resmi sağlık hizmet</w:t>
      </w:r>
      <w:r w:rsidR="00DB7BE1">
        <w:rPr>
          <w:rFonts w:ascii="Times New Roman" w:hAnsi="Times New Roman" w:cs="Times New Roman"/>
          <w:bCs/>
          <w:sz w:val="18"/>
          <w:szCs w:val="24"/>
        </w:rPr>
        <w:t>i</w:t>
      </w:r>
      <w:r w:rsidRPr="008001E0">
        <w:rPr>
          <w:rFonts w:ascii="Times New Roman" w:hAnsi="Times New Roman" w:cs="Times New Roman"/>
          <w:bCs/>
          <w:sz w:val="18"/>
          <w:szCs w:val="24"/>
        </w:rPr>
        <w:t xml:space="preserve"> sunucularında düzenlenen en az bir göğüs hastalıkları uzman hekiminin yer aldığı 6 ay süreli sağlık kurulu raporuna istinaden göğüs hastalıkları uzman hekimlerince reçete edilmesi halinde bedeli Kurumca karşılanır.</w:t>
      </w:r>
      <w:r w:rsidR="00C87357">
        <w:rPr>
          <w:rFonts w:ascii="Times New Roman" w:hAnsi="Times New Roman" w:cs="Times New Roman"/>
          <w:bCs/>
          <w:sz w:val="18"/>
          <w:szCs w:val="24"/>
        </w:rPr>
        <w:t>”</w:t>
      </w:r>
    </w:p>
    <w:p w:rsidR="001611E3" w:rsidRPr="00F5782D" w:rsidRDefault="001611E3" w:rsidP="002550A9">
      <w:pPr>
        <w:tabs>
          <w:tab w:val="left" w:pos="284"/>
          <w:tab w:val="left" w:pos="567"/>
          <w:tab w:val="left" w:pos="709"/>
        </w:tabs>
        <w:spacing w:after="0" w:line="240" w:lineRule="auto"/>
        <w:ind w:firstLine="709"/>
        <w:rPr>
          <w:rFonts w:ascii="Times New Roman" w:eastAsia="Times New Roman" w:hAnsi="Times New Roman" w:cs="Times New Roman"/>
          <w:sz w:val="19"/>
          <w:szCs w:val="19"/>
          <w:lang w:eastAsia="tr-TR"/>
        </w:rPr>
      </w:pPr>
      <w:r w:rsidRPr="00D72005">
        <w:rPr>
          <w:rFonts w:ascii="Times New Roman" w:hAnsi="Times New Roman" w:cs="Times New Roman"/>
          <w:b/>
          <w:bCs/>
          <w:sz w:val="18"/>
          <w:szCs w:val="18"/>
        </w:rPr>
        <w:t xml:space="preserve">MADDE </w:t>
      </w:r>
      <w:r w:rsidR="00DA20B7">
        <w:rPr>
          <w:rFonts w:ascii="Times New Roman" w:hAnsi="Times New Roman" w:cs="Times New Roman"/>
          <w:b/>
          <w:bCs/>
          <w:sz w:val="18"/>
          <w:szCs w:val="18"/>
        </w:rPr>
        <w:t>4</w:t>
      </w:r>
      <w:r w:rsidRPr="00D72005">
        <w:rPr>
          <w:rFonts w:ascii="Times New Roman" w:hAnsi="Times New Roman" w:cs="Times New Roman"/>
          <w:b/>
          <w:bCs/>
          <w:sz w:val="18"/>
          <w:szCs w:val="18"/>
        </w:rPr>
        <w:t>-</w:t>
      </w:r>
      <w:r w:rsidRPr="00D72005">
        <w:rPr>
          <w:rFonts w:ascii="Times New Roman" w:hAnsi="Times New Roman" w:cs="Times New Roman"/>
          <w:bCs/>
          <w:sz w:val="18"/>
          <w:szCs w:val="18"/>
        </w:rPr>
        <w:t xml:space="preserve"> </w:t>
      </w:r>
      <w:r w:rsidRPr="00F5782D">
        <w:rPr>
          <w:rFonts w:ascii="Times New Roman" w:eastAsia="Times New Roman" w:hAnsi="Times New Roman" w:cs="Times New Roman"/>
          <w:sz w:val="18"/>
          <w:szCs w:val="18"/>
          <w:lang w:eastAsia="tr-TR"/>
        </w:rPr>
        <w:t>Aynı Tebliğ eki;</w:t>
      </w:r>
    </w:p>
    <w:p w:rsidR="001611E3" w:rsidRPr="00F5782D" w:rsidRDefault="001611E3" w:rsidP="002550A9">
      <w:pPr>
        <w:tabs>
          <w:tab w:val="left" w:pos="709"/>
        </w:tabs>
        <w:spacing w:after="0" w:line="240" w:lineRule="auto"/>
        <w:ind w:firstLine="709"/>
        <w:jc w:val="both"/>
        <w:rPr>
          <w:rFonts w:ascii="Times New Roman" w:eastAsia="Times New Roman" w:hAnsi="Times New Roman" w:cs="Times New Roman"/>
          <w:sz w:val="19"/>
          <w:szCs w:val="19"/>
          <w:lang w:eastAsia="tr-TR"/>
        </w:rPr>
      </w:pPr>
      <w:r w:rsidRPr="00F5782D">
        <w:rPr>
          <w:rFonts w:ascii="Times New Roman" w:eastAsia="Times New Roman" w:hAnsi="Times New Roman" w:cs="Times New Roman"/>
          <w:sz w:val="18"/>
          <w:szCs w:val="18"/>
          <w:lang w:eastAsia="tr-TR"/>
        </w:rPr>
        <w:t>a) “Bedeli Ödenecek İlaçlar Listesi (EK-4/A)” Ek-1’ deki şekilde,</w:t>
      </w:r>
    </w:p>
    <w:p w:rsidR="001611E3" w:rsidRPr="00F5782D" w:rsidRDefault="001611E3" w:rsidP="002550A9">
      <w:pPr>
        <w:tabs>
          <w:tab w:val="left" w:pos="709"/>
        </w:tabs>
        <w:spacing w:after="0" w:line="240" w:lineRule="auto"/>
        <w:ind w:firstLine="709"/>
        <w:jc w:val="both"/>
        <w:rPr>
          <w:rFonts w:ascii="Times New Roman" w:eastAsia="Times New Roman" w:hAnsi="Times New Roman" w:cs="Times New Roman"/>
          <w:sz w:val="19"/>
          <w:szCs w:val="19"/>
          <w:lang w:eastAsia="tr-TR"/>
        </w:rPr>
      </w:pPr>
      <w:r w:rsidRPr="00F5782D">
        <w:rPr>
          <w:rFonts w:ascii="Times New Roman" w:eastAsia="Times New Roman" w:hAnsi="Times New Roman" w:cs="Times New Roman"/>
          <w:sz w:val="18"/>
          <w:szCs w:val="18"/>
          <w:lang w:eastAsia="tr-TR"/>
        </w:rPr>
        <w:lastRenderedPageBreak/>
        <w:t>b) “Yurt Dışı İlaç Fiyat Listesi (EK-4/C)” Ek-2’ deki şekilde,</w:t>
      </w:r>
    </w:p>
    <w:p w:rsidR="00C87357" w:rsidRDefault="001611E3" w:rsidP="00DA20B7">
      <w:pPr>
        <w:tabs>
          <w:tab w:val="left" w:pos="567"/>
          <w:tab w:val="left" w:pos="709"/>
        </w:tabs>
        <w:spacing w:after="0" w:line="240" w:lineRule="auto"/>
        <w:ind w:firstLine="709"/>
        <w:jc w:val="both"/>
        <w:rPr>
          <w:rFonts w:ascii="Times New Roman" w:hAnsi="Times New Roman" w:cs="Times New Roman"/>
          <w:b/>
          <w:bCs/>
          <w:sz w:val="18"/>
          <w:szCs w:val="18"/>
        </w:rPr>
      </w:pPr>
      <w:r w:rsidRPr="00F5782D">
        <w:rPr>
          <w:rFonts w:ascii="Times New Roman" w:eastAsia="Times New Roman" w:hAnsi="Times New Roman" w:cs="Times New Roman"/>
          <w:sz w:val="18"/>
          <w:szCs w:val="18"/>
          <w:lang w:eastAsia="tr-TR"/>
        </w:rPr>
        <w:t>değiştirilmiştir.</w:t>
      </w:r>
      <w:bookmarkStart w:id="0" w:name="_GoBack"/>
      <w:bookmarkEnd w:id="0"/>
    </w:p>
    <w:p w:rsidR="00DA20B7" w:rsidRDefault="001611E3" w:rsidP="00C87357">
      <w:pPr>
        <w:tabs>
          <w:tab w:val="left" w:pos="567"/>
          <w:tab w:val="left" w:pos="709"/>
        </w:tabs>
        <w:spacing w:after="0" w:line="240" w:lineRule="auto"/>
        <w:ind w:firstLine="709"/>
        <w:jc w:val="both"/>
        <w:rPr>
          <w:rFonts w:ascii="Times New Roman" w:hAnsi="Times New Roman" w:cs="Times New Roman"/>
          <w:bCs/>
          <w:sz w:val="18"/>
          <w:szCs w:val="18"/>
        </w:rPr>
      </w:pPr>
      <w:r w:rsidRPr="00D72005">
        <w:rPr>
          <w:rFonts w:ascii="Times New Roman" w:hAnsi="Times New Roman" w:cs="Times New Roman"/>
          <w:b/>
          <w:bCs/>
          <w:sz w:val="18"/>
          <w:szCs w:val="18"/>
        </w:rPr>
        <w:t xml:space="preserve">MADDE </w:t>
      </w:r>
      <w:r w:rsidR="00DA20B7">
        <w:rPr>
          <w:rFonts w:ascii="Times New Roman" w:hAnsi="Times New Roman" w:cs="Times New Roman"/>
          <w:b/>
          <w:bCs/>
          <w:sz w:val="18"/>
          <w:szCs w:val="18"/>
        </w:rPr>
        <w:t>5</w:t>
      </w:r>
      <w:r w:rsidRPr="00D72005">
        <w:rPr>
          <w:rFonts w:ascii="Times New Roman" w:hAnsi="Times New Roman" w:cs="Times New Roman"/>
          <w:b/>
          <w:bCs/>
          <w:sz w:val="18"/>
          <w:szCs w:val="18"/>
        </w:rPr>
        <w:t>-</w:t>
      </w:r>
      <w:r w:rsidRPr="00D72005">
        <w:rPr>
          <w:rFonts w:ascii="Times New Roman" w:hAnsi="Times New Roman" w:cs="Times New Roman"/>
          <w:bCs/>
          <w:sz w:val="18"/>
          <w:szCs w:val="18"/>
        </w:rPr>
        <w:t xml:space="preserve"> Aynı Tebliğ eki “Hasta Katılım Payından Muaf İlaçlar Listesi (EK-4/D)”</w:t>
      </w:r>
      <w:r w:rsidRPr="00DA3CF9">
        <w:rPr>
          <w:rFonts w:ascii="Times New Roman" w:eastAsia="Calibri" w:hAnsi="Times New Roman" w:cs="Times New Roman"/>
          <w:sz w:val="18"/>
          <w:szCs w:val="18"/>
        </w:rPr>
        <w:t xml:space="preserve"> </w:t>
      </w:r>
      <w:proofErr w:type="spellStart"/>
      <w:r w:rsidRPr="00143A07">
        <w:rPr>
          <w:rFonts w:ascii="Times New Roman" w:eastAsia="Calibri" w:hAnsi="Times New Roman" w:cs="Times New Roman"/>
          <w:sz w:val="18"/>
          <w:szCs w:val="18"/>
        </w:rPr>
        <w:t>nde</w:t>
      </w:r>
      <w:proofErr w:type="spellEnd"/>
      <w:r w:rsidRPr="00143A07">
        <w:rPr>
          <w:rFonts w:ascii="Times New Roman" w:eastAsia="Calibri" w:hAnsi="Times New Roman" w:cs="Times New Roman"/>
          <w:sz w:val="18"/>
          <w:szCs w:val="18"/>
        </w:rPr>
        <w:t xml:space="preserve"> aşağıdaki düzenlemeler yapılmıştır.</w:t>
      </w:r>
      <w:r>
        <w:rPr>
          <w:rFonts w:ascii="Times New Roman" w:hAnsi="Times New Roman" w:cs="Times New Roman"/>
          <w:bCs/>
          <w:sz w:val="18"/>
          <w:szCs w:val="18"/>
        </w:rPr>
        <w:t xml:space="preserve"> </w:t>
      </w:r>
    </w:p>
    <w:p w:rsidR="00DA20B7" w:rsidRDefault="001611E3" w:rsidP="00C87357">
      <w:pPr>
        <w:tabs>
          <w:tab w:val="left" w:pos="567"/>
          <w:tab w:val="left" w:pos="709"/>
        </w:tabs>
        <w:spacing w:after="0" w:line="240" w:lineRule="auto"/>
        <w:ind w:firstLine="709"/>
        <w:jc w:val="both"/>
        <w:rPr>
          <w:rFonts w:ascii="Times New Roman" w:hAnsi="Times New Roman" w:cs="Times New Roman"/>
          <w:bCs/>
          <w:sz w:val="18"/>
          <w:szCs w:val="18"/>
        </w:rPr>
      </w:pPr>
      <w:r w:rsidRPr="00DA3CF9">
        <w:rPr>
          <w:rFonts w:ascii="Times New Roman" w:hAnsi="Times New Roman" w:cs="Times New Roman"/>
          <w:bCs/>
          <w:sz w:val="18"/>
          <w:szCs w:val="18"/>
        </w:rPr>
        <w:t>a)</w:t>
      </w:r>
      <w:r>
        <w:rPr>
          <w:rFonts w:ascii="Times New Roman" w:hAnsi="Times New Roman" w:cs="Times New Roman"/>
          <w:bCs/>
          <w:sz w:val="18"/>
          <w:szCs w:val="18"/>
        </w:rPr>
        <w:t xml:space="preserve"> Listenin </w:t>
      </w:r>
      <w:r w:rsidRPr="00DA3CF9">
        <w:rPr>
          <w:rFonts w:ascii="Times New Roman" w:hAnsi="Times New Roman" w:cs="Times New Roman"/>
          <w:bCs/>
          <w:sz w:val="18"/>
          <w:szCs w:val="18"/>
        </w:rPr>
        <w:t>2 numaralı maddesine aşağıdaki alt maddeler eklenmiştir.</w:t>
      </w:r>
    </w:p>
    <w:p w:rsidR="00DA20B7" w:rsidRDefault="001611E3" w:rsidP="00C87357">
      <w:pPr>
        <w:tabs>
          <w:tab w:val="left" w:pos="567"/>
          <w:tab w:val="left" w:pos="709"/>
        </w:tabs>
        <w:spacing w:after="0" w:line="240" w:lineRule="auto"/>
        <w:ind w:firstLine="709"/>
        <w:jc w:val="both"/>
        <w:rPr>
          <w:rFonts w:ascii="Times New Roman" w:hAnsi="Times New Roman" w:cs="Times New Roman"/>
          <w:bCs/>
          <w:sz w:val="18"/>
          <w:szCs w:val="18"/>
        </w:rPr>
      </w:pPr>
      <w:r w:rsidRPr="001E1E53">
        <w:rPr>
          <w:rFonts w:ascii="Times New Roman" w:hAnsi="Times New Roman" w:cs="Times New Roman"/>
          <w:bCs/>
          <w:sz w:val="18"/>
          <w:szCs w:val="18"/>
        </w:rPr>
        <w:t>“</w:t>
      </w:r>
      <w:r w:rsidRPr="001E1E53">
        <w:rPr>
          <w:rFonts w:ascii="Times New Roman" w:hAnsi="Times New Roman" w:cs="Times New Roman"/>
          <w:b/>
          <w:bCs/>
          <w:sz w:val="18"/>
          <w:szCs w:val="18"/>
        </w:rPr>
        <w:t>2.30.</w:t>
      </w:r>
      <w:r w:rsidRPr="001E1E53">
        <w:rPr>
          <w:rFonts w:ascii="Times New Roman" w:hAnsi="Times New Roman" w:cs="Times New Roman"/>
          <w:bCs/>
          <w:sz w:val="18"/>
          <w:szCs w:val="18"/>
        </w:rPr>
        <w:t xml:space="preserve">   </w:t>
      </w:r>
      <w:r w:rsidR="00DA20B7">
        <w:rPr>
          <w:rFonts w:ascii="Times New Roman" w:hAnsi="Times New Roman" w:cs="Times New Roman"/>
          <w:bCs/>
          <w:sz w:val="18"/>
          <w:szCs w:val="18"/>
        </w:rPr>
        <w:t xml:space="preserve"> </w:t>
      </w:r>
      <w:r w:rsidR="00116873">
        <w:rPr>
          <w:rFonts w:ascii="Times New Roman" w:hAnsi="Times New Roman" w:cs="Times New Roman"/>
          <w:bCs/>
          <w:sz w:val="18"/>
          <w:szCs w:val="18"/>
        </w:rPr>
        <w:t xml:space="preserve"> </w:t>
      </w:r>
      <w:proofErr w:type="spellStart"/>
      <w:r w:rsidRPr="001E1E53">
        <w:rPr>
          <w:rFonts w:ascii="Times New Roman" w:hAnsi="Times New Roman" w:cs="Times New Roman"/>
          <w:bCs/>
          <w:sz w:val="18"/>
          <w:szCs w:val="18"/>
        </w:rPr>
        <w:t>Atezolizumab</w:t>
      </w:r>
      <w:proofErr w:type="spellEnd"/>
      <w:r w:rsidRPr="001E1E53">
        <w:rPr>
          <w:rFonts w:ascii="Times New Roman" w:hAnsi="Times New Roman" w:cs="Times New Roman"/>
          <w:bCs/>
          <w:sz w:val="18"/>
          <w:szCs w:val="18"/>
        </w:rPr>
        <w:t>*</w:t>
      </w:r>
    </w:p>
    <w:p w:rsidR="00DA20B7" w:rsidRDefault="001611E3" w:rsidP="00C87357">
      <w:pPr>
        <w:tabs>
          <w:tab w:val="left" w:pos="567"/>
          <w:tab w:val="left" w:pos="709"/>
        </w:tabs>
        <w:spacing w:after="0" w:line="240" w:lineRule="auto"/>
        <w:ind w:firstLine="709"/>
        <w:jc w:val="both"/>
        <w:rPr>
          <w:rFonts w:ascii="Times New Roman" w:hAnsi="Times New Roman" w:cs="Times New Roman"/>
          <w:bCs/>
          <w:sz w:val="18"/>
          <w:szCs w:val="18"/>
        </w:rPr>
      </w:pPr>
      <w:r>
        <w:rPr>
          <w:rFonts w:ascii="Times New Roman" w:hAnsi="Times New Roman" w:cs="Times New Roman"/>
          <w:b/>
          <w:bCs/>
          <w:sz w:val="18"/>
          <w:szCs w:val="18"/>
        </w:rPr>
        <w:t xml:space="preserve"> </w:t>
      </w:r>
      <w:r w:rsidRPr="001E1E53">
        <w:rPr>
          <w:rFonts w:ascii="Times New Roman" w:hAnsi="Times New Roman" w:cs="Times New Roman"/>
          <w:b/>
          <w:bCs/>
          <w:sz w:val="18"/>
          <w:szCs w:val="18"/>
        </w:rPr>
        <w:t xml:space="preserve">2.31.    </w:t>
      </w:r>
      <w:r w:rsidR="00DA20B7">
        <w:rPr>
          <w:rFonts w:ascii="Times New Roman" w:hAnsi="Times New Roman" w:cs="Times New Roman"/>
          <w:b/>
          <w:bCs/>
          <w:sz w:val="18"/>
          <w:szCs w:val="18"/>
        </w:rPr>
        <w:t xml:space="preserve"> </w:t>
      </w:r>
      <w:r w:rsidRPr="001E1E53">
        <w:rPr>
          <w:rFonts w:ascii="Times New Roman" w:hAnsi="Times New Roman" w:cs="Times New Roman"/>
          <w:b/>
          <w:bCs/>
          <w:sz w:val="18"/>
          <w:szCs w:val="18"/>
        </w:rPr>
        <w:t xml:space="preserve"> </w:t>
      </w:r>
      <w:proofErr w:type="spellStart"/>
      <w:r w:rsidRPr="001E1E53">
        <w:rPr>
          <w:rFonts w:ascii="Times New Roman" w:hAnsi="Times New Roman" w:cs="Times New Roman"/>
          <w:bCs/>
          <w:sz w:val="18"/>
          <w:szCs w:val="18"/>
        </w:rPr>
        <w:t>Durvalumab</w:t>
      </w:r>
      <w:proofErr w:type="spellEnd"/>
      <w:r w:rsidRPr="001E1E53">
        <w:rPr>
          <w:rFonts w:ascii="Times New Roman" w:hAnsi="Times New Roman" w:cs="Times New Roman"/>
          <w:bCs/>
          <w:sz w:val="18"/>
          <w:szCs w:val="18"/>
        </w:rPr>
        <w:t>*</w:t>
      </w:r>
    </w:p>
    <w:p w:rsidR="00DA20B7" w:rsidRDefault="001611E3" w:rsidP="00C87357">
      <w:pPr>
        <w:tabs>
          <w:tab w:val="left" w:pos="567"/>
          <w:tab w:val="left" w:pos="709"/>
        </w:tabs>
        <w:spacing w:after="0" w:line="240" w:lineRule="auto"/>
        <w:ind w:firstLine="709"/>
        <w:jc w:val="both"/>
        <w:rPr>
          <w:rFonts w:ascii="Times New Roman" w:hAnsi="Times New Roman" w:cs="Times New Roman"/>
          <w:bCs/>
          <w:sz w:val="18"/>
          <w:szCs w:val="18"/>
        </w:rPr>
      </w:pPr>
      <w:r>
        <w:rPr>
          <w:rFonts w:ascii="Times New Roman" w:hAnsi="Times New Roman" w:cs="Times New Roman"/>
          <w:b/>
          <w:bCs/>
          <w:sz w:val="18"/>
          <w:szCs w:val="18"/>
        </w:rPr>
        <w:t xml:space="preserve"> </w:t>
      </w:r>
      <w:r w:rsidRPr="001E1E53">
        <w:rPr>
          <w:rFonts w:ascii="Times New Roman" w:hAnsi="Times New Roman" w:cs="Times New Roman"/>
          <w:b/>
          <w:bCs/>
          <w:sz w:val="18"/>
          <w:szCs w:val="18"/>
        </w:rPr>
        <w:t>2.32.</w:t>
      </w:r>
      <w:r w:rsidRPr="001E1E53">
        <w:rPr>
          <w:rFonts w:ascii="Times New Roman" w:hAnsi="Times New Roman" w:cs="Times New Roman"/>
          <w:bCs/>
          <w:sz w:val="18"/>
          <w:szCs w:val="18"/>
        </w:rPr>
        <w:t xml:space="preserve">     </w:t>
      </w:r>
      <w:r w:rsidR="00DA20B7">
        <w:rPr>
          <w:rFonts w:ascii="Times New Roman" w:hAnsi="Times New Roman" w:cs="Times New Roman"/>
          <w:bCs/>
          <w:sz w:val="18"/>
          <w:szCs w:val="18"/>
        </w:rPr>
        <w:t xml:space="preserve"> </w:t>
      </w:r>
      <w:proofErr w:type="spellStart"/>
      <w:r w:rsidRPr="001E1E53">
        <w:rPr>
          <w:rFonts w:ascii="Times New Roman" w:hAnsi="Times New Roman" w:cs="Times New Roman"/>
          <w:bCs/>
          <w:sz w:val="18"/>
          <w:szCs w:val="18"/>
        </w:rPr>
        <w:t>Pembrolizumab</w:t>
      </w:r>
      <w:proofErr w:type="spellEnd"/>
      <w:r w:rsidRPr="001E1E53">
        <w:rPr>
          <w:rFonts w:ascii="Times New Roman" w:hAnsi="Times New Roman" w:cs="Times New Roman"/>
          <w:bCs/>
          <w:sz w:val="18"/>
          <w:szCs w:val="18"/>
        </w:rPr>
        <w:t>*</w:t>
      </w:r>
    </w:p>
    <w:p w:rsidR="001611E3" w:rsidRPr="001E1E53" w:rsidRDefault="001611E3" w:rsidP="00C87357">
      <w:pPr>
        <w:tabs>
          <w:tab w:val="left" w:pos="567"/>
          <w:tab w:val="left" w:pos="709"/>
          <w:tab w:val="left" w:pos="993"/>
          <w:tab w:val="left" w:pos="1418"/>
        </w:tabs>
        <w:spacing w:after="0" w:line="240" w:lineRule="auto"/>
        <w:ind w:firstLine="709"/>
        <w:jc w:val="both"/>
        <w:rPr>
          <w:rFonts w:ascii="Times New Roman" w:hAnsi="Times New Roman" w:cs="Times New Roman"/>
          <w:bCs/>
          <w:sz w:val="18"/>
          <w:szCs w:val="18"/>
        </w:rPr>
      </w:pPr>
      <w:r>
        <w:rPr>
          <w:rFonts w:ascii="Times New Roman" w:hAnsi="Times New Roman" w:cs="Times New Roman"/>
          <w:b/>
          <w:bCs/>
          <w:sz w:val="18"/>
          <w:szCs w:val="18"/>
        </w:rPr>
        <w:t xml:space="preserve"> </w:t>
      </w:r>
      <w:r w:rsidRPr="001E1E53">
        <w:rPr>
          <w:rFonts w:ascii="Times New Roman" w:hAnsi="Times New Roman" w:cs="Times New Roman"/>
          <w:b/>
          <w:bCs/>
          <w:sz w:val="18"/>
          <w:szCs w:val="18"/>
        </w:rPr>
        <w:t>2.33.</w:t>
      </w:r>
      <w:r w:rsidRPr="001E1E53">
        <w:rPr>
          <w:rFonts w:ascii="Times New Roman" w:hAnsi="Times New Roman" w:cs="Times New Roman"/>
          <w:bCs/>
          <w:sz w:val="18"/>
          <w:szCs w:val="18"/>
        </w:rPr>
        <w:t xml:space="preserve">    </w:t>
      </w:r>
      <w:r w:rsidR="00DA20B7">
        <w:rPr>
          <w:rFonts w:ascii="Times New Roman" w:hAnsi="Times New Roman" w:cs="Times New Roman"/>
          <w:bCs/>
          <w:sz w:val="18"/>
          <w:szCs w:val="18"/>
        </w:rPr>
        <w:t xml:space="preserve"> </w:t>
      </w:r>
      <w:r w:rsidRPr="001E1E53">
        <w:rPr>
          <w:rFonts w:ascii="Times New Roman" w:hAnsi="Times New Roman" w:cs="Times New Roman"/>
          <w:bCs/>
          <w:sz w:val="18"/>
          <w:szCs w:val="18"/>
        </w:rPr>
        <w:t xml:space="preserve"> </w:t>
      </w:r>
      <w:proofErr w:type="spellStart"/>
      <w:r w:rsidRPr="001E1E53">
        <w:rPr>
          <w:rFonts w:ascii="Times New Roman" w:hAnsi="Times New Roman" w:cs="Times New Roman"/>
          <w:bCs/>
          <w:sz w:val="18"/>
          <w:szCs w:val="18"/>
        </w:rPr>
        <w:t>İpilimumab</w:t>
      </w:r>
      <w:proofErr w:type="spellEnd"/>
      <w:r w:rsidRPr="001E1E53">
        <w:rPr>
          <w:rFonts w:ascii="Times New Roman" w:hAnsi="Times New Roman" w:cs="Times New Roman"/>
          <w:bCs/>
          <w:sz w:val="18"/>
          <w:szCs w:val="18"/>
        </w:rPr>
        <w:t>*</w:t>
      </w:r>
      <w:r w:rsidR="00043122">
        <w:rPr>
          <w:rFonts w:ascii="Times New Roman" w:hAnsi="Times New Roman" w:cs="Times New Roman"/>
          <w:bCs/>
          <w:sz w:val="18"/>
          <w:szCs w:val="18"/>
        </w:rPr>
        <w:t>”</w:t>
      </w:r>
    </w:p>
    <w:p w:rsidR="00DA20B7" w:rsidRPr="00EB7AC4" w:rsidRDefault="001611E3" w:rsidP="00DA20B7">
      <w:pPr>
        <w:spacing w:after="0" w:line="240" w:lineRule="auto"/>
        <w:ind w:firstLine="709"/>
        <w:jc w:val="both"/>
        <w:rPr>
          <w:rFonts w:ascii="Times New Roman" w:eastAsia="Times New Roman" w:hAnsi="Times New Roman" w:cs="Times New Roman"/>
          <w:bCs/>
          <w:sz w:val="18"/>
          <w:szCs w:val="18"/>
          <w:lang w:eastAsia="tr-TR"/>
        </w:rPr>
      </w:pPr>
      <w:r w:rsidRPr="00DA20B7">
        <w:rPr>
          <w:rFonts w:ascii="Times New Roman" w:hAnsi="Times New Roman" w:cs="Times New Roman"/>
          <w:bCs/>
          <w:sz w:val="18"/>
          <w:szCs w:val="18"/>
        </w:rPr>
        <w:t>b)</w:t>
      </w:r>
      <w:r w:rsidR="00DA20B7" w:rsidRPr="00DA20B7">
        <w:rPr>
          <w:rFonts w:ascii="Times New Roman" w:eastAsia="Times New Roman" w:hAnsi="Times New Roman" w:cs="Times New Roman"/>
          <w:bCs/>
          <w:sz w:val="18"/>
          <w:szCs w:val="18"/>
          <w:lang w:eastAsia="tr-TR"/>
        </w:rPr>
        <w:t xml:space="preserve"> Listenin</w:t>
      </w:r>
      <w:r w:rsidR="00DA20B7" w:rsidRPr="00EB7AC4">
        <w:rPr>
          <w:rFonts w:ascii="Times New Roman" w:eastAsia="Times New Roman" w:hAnsi="Times New Roman" w:cs="Times New Roman"/>
          <w:bCs/>
          <w:sz w:val="18"/>
          <w:szCs w:val="18"/>
          <w:lang w:eastAsia="tr-TR"/>
        </w:rPr>
        <w:t xml:space="preserve"> </w:t>
      </w:r>
      <w:r w:rsidR="00DA20B7">
        <w:rPr>
          <w:rFonts w:ascii="Times New Roman" w:eastAsia="Times New Roman" w:hAnsi="Times New Roman" w:cs="Times New Roman"/>
          <w:bCs/>
          <w:sz w:val="18"/>
          <w:szCs w:val="18"/>
          <w:lang w:eastAsia="tr-TR"/>
        </w:rPr>
        <w:t>15</w:t>
      </w:r>
      <w:r w:rsidR="00DA20B7" w:rsidRPr="00EB7AC4">
        <w:rPr>
          <w:rFonts w:ascii="Times New Roman" w:eastAsia="Times New Roman" w:hAnsi="Times New Roman" w:cs="Times New Roman"/>
          <w:bCs/>
          <w:sz w:val="18"/>
          <w:szCs w:val="18"/>
          <w:lang w:eastAsia="tr-TR"/>
        </w:rPr>
        <w:t>.</w:t>
      </w:r>
      <w:r w:rsidR="00DA20B7">
        <w:rPr>
          <w:rFonts w:ascii="Times New Roman" w:eastAsia="Times New Roman" w:hAnsi="Times New Roman" w:cs="Times New Roman"/>
          <w:bCs/>
          <w:sz w:val="18"/>
          <w:szCs w:val="18"/>
          <w:lang w:eastAsia="tr-TR"/>
        </w:rPr>
        <w:t>5</w:t>
      </w:r>
      <w:r w:rsidR="00DA20B7" w:rsidRPr="00EB7AC4">
        <w:rPr>
          <w:rFonts w:ascii="Times New Roman" w:eastAsia="Times New Roman" w:hAnsi="Times New Roman" w:cs="Times New Roman"/>
          <w:bCs/>
          <w:sz w:val="18"/>
          <w:szCs w:val="18"/>
          <w:lang w:eastAsia="tr-TR"/>
        </w:rPr>
        <w:t xml:space="preserve"> numaralı maddesine aşağıdaki alt madde eklenmiştir.</w:t>
      </w:r>
    </w:p>
    <w:p w:rsidR="001611E3" w:rsidRPr="001E1E53" w:rsidRDefault="00DA20B7" w:rsidP="001611E3">
      <w:pPr>
        <w:keepNext/>
        <w:keepLines/>
        <w:tabs>
          <w:tab w:val="left" w:pos="709"/>
        </w:tabs>
        <w:spacing w:after="0" w:line="240" w:lineRule="auto"/>
        <w:ind w:firstLine="709"/>
        <w:outlineLvl w:val="2"/>
        <w:rPr>
          <w:rFonts w:ascii="Times New Roman" w:hAnsi="Times New Roman" w:cs="Times New Roman"/>
          <w:bCs/>
          <w:sz w:val="18"/>
          <w:szCs w:val="18"/>
        </w:rPr>
      </w:pPr>
      <w:r>
        <w:rPr>
          <w:rFonts w:ascii="Times New Roman" w:eastAsia="Times New Roman" w:hAnsi="Times New Roman" w:cs="Times New Roman"/>
          <w:bCs/>
          <w:sz w:val="18"/>
          <w:szCs w:val="18"/>
          <w:lang w:eastAsia="tr-TR"/>
        </w:rPr>
        <w:t>“</w:t>
      </w:r>
      <w:r w:rsidRPr="00680882">
        <w:rPr>
          <w:rFonts w:ascii="Times New Roman" w:eastAsia="Times New Roman" w:hAnsi="Times New Roman" w:cs="Times New Roman"/>
          <w:bCs/>
          <w:sz w:val="18"/>
          <w:szCs w:val="18"/>
          <w:lang w:eastAsia="tr-TR"/>
        </w:rPr>
        <w:t xml:space="preserve">15.5.9.   </w:t>
      </w:r>
      <w:proofErr w:type="spellStart"/>
      <w:r w:rsidRPr="00680882">
        <w:rPr>
          <w:rFonts w:ascii="Times New Roman" w:eastAsia="Times New Roman" w:hAnsi="Times New Roman" w:cs="Times New Roman"/>
          <w:bCs/>
          <w:sz w:val="18"/>
          <w:szCs w:val="18"/>
          <w:lang w:eastAsia="tr-TR"/>
        </w:rPr>
        <w:t>Elexacaftor</w:t>
      </w:r>
      <w:proofErr w:type="spellEnd"/>
      <w:r w:rsidRPr="00680882">
        <w:rPr>
          <w:rFonts w:ascii="Times New Roman" w:eastAsia="Times New Roman" w:hAnsi="Times New Roman" w:cs="Times New Roman"/>
          <w:bCs/>
          <w:sz w:val="18"/>
          <w:szCs w:val="18"/>
          <w:lang w:eastAsia="tr-TR"/>
        </w:rPr>
        <w:t>/</w:t>
      </w:r>
      <w:proofErr w:type="spellStart"/>
      <w:r w:rsidRPr="00680882">
        <w:rPr>
          <w:rFonts w:ascii="Times New Roman" w:eastAsia="Times New Roman" w:hAnsi="Times New Roman" w:cs="Times New Roman"/>
          <w:bCs/>
          <w:sz w:val="18"/>
          <w:szCs w:val="18"/>
          <w:lang w:eastAsia="tr-TR"/>
        </w:rPr>
        <w:t>Tezacaftor</w:t>
      </w:r>
      <w:proofErr w:type="spellEnd"/>
      <w:r w:rsidRPr="00680882">
        <w:rPr>
          <w:rFonts w:ascii="Times New Roman" w:eastAsia="Times New Roman" w:hAnsi="Times New Roman" w:cs="Times New Roman"/>
          <w:bCs/>
          <w:sz w:val="18"/>
          <w:szCs w:val="18"/>
          <w:lang w:eastAsia="tr-TR"/>
        </w:rPr>
        <w:t>/</w:t>
      </w:r>
      <w:proofErr w:type="spellStart"/>
      <w:r w:rsidRPr="00680882">
        <w:rPr>
          <w:rFonts w:ascii="Times New Roman" w:eastAsia="Times New Roman" w:hAnsi="Times New Roman" w:cs="Times New Roman"/>
          <w:bCs/>
          <w:sz w:val="18"/>
          <w:szCs w:val="18"/>
          <w:lang w:eastAsia="tr-TR"/>
        </w:rPr>
        <w:t>Ivacaftor</w:t>
      </w:r>
      <w:proofErr w:type="spellEnd"/>
      <w:r w:rsidRPr="00680882">
        <w:rPr>
          <w:rFonts w:ascii="Times New Roman" w:eastAsia="Times New Roman" w:hAnsi="Times New Roman" w:cs="Times New Roman"/>
          <w:bCs/>
          <w:sz w:val="18"/>
          <w:szCs w:val="18"/>
          <w:lang w:eastAsia="tr-TR"/>
        </w:rPr>
        <w:t xml:space="preserve"> </w:t>
      </w:r>
      <w:proofErr w:type="spellStart"/>
      <w:r w:rsidRPr="00680882">
        <w:rPr>
          <w:rFonts w:ascii="Times New Roman" w:eastAsia="Times New Roman" w:hAnsi="Times New Roman" w:cs="Times New Roman"/>
          <w:bCs/>
          <w:sz w:val="18"/>
          <w:szCs w:val="18"/>
          <w:lang w:eastAsia="tr-TR"/>
        </w:rPr>
        <w:t>and</w:t>
      </w:r>
      <w:proofErr w:type="spellEnd"/>
      <w:r w:rsidRPr="00680882">
        <w:rPr>
          <w:rFonts w:ascii="Times New Roman" w:eastAsia="Times New Roman" w:hAnsi="Times New Roman" w:cs="Times New Roman"/>
          <w:bCs/>
          <w:sz w:val="18"/>
          <w:szCs w:val="18"/>
          <w:lang w:eastAsia="tr-TR"/>
        </w:rPr>
        <w:t xml:space="preserve"> </w:t>
      </w:r>
      <w:proofErr w:type="spellStart"/>
      <w:r w:rsidRPr="00680882">
        <w:rPr>
          <w:rFonts w:ascii="Times New Roman" w:eastAsia="Times New Roman" w:hAnsi="Times New Roman" w:cs="Times New Roman"/>
          <w:bCs/>
          <w:sz w:val="18"/>
          <w:szCs w:val="18"/>
          <w:lang w:eastAsia="tr-TR"/>
        </w:rPr>
        <w:t>Ivacaftor</w:t>
      </w:r>
      <w:proofErr w:type="spellEnd"/>
      <w:r w:rsidRPr="00680882">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w:t>
      </w:r>
    </w:p>
    <w:p w:rsidR="001611E3" w:rsidRPr="00660B9C" w:rsidRDefault="001611E3" w:rsidP="001611E3">
      <w:pPr>
        <w:keepNext/>
        <w:keepLines/>
        <w:tabs>
          <w:tab w:val="left" w:pos="709"/>
        </w:tabs>
        <w:spacing w:after="0" w:line="240" w:lineRule="auto"/>
        <w:outlineLvl w:val="2"/>
        <w:rPr>
          <w:rFonts w:ascii="Times New Roman" w:hAnsi="Times New Roman" w:cs="Times New Roman"/>
          <w:bCs/>
          <w:sz w:val="18"/>
          <w:szCs w:val="18"/>
        </w:rPr>
      </w:pPr>
      <w:r>
        <w:rPr>
          <w:rFonts w:ascii="Times New Roman" w:hAnsi="Times New Roman" w:cs="Times New Roman"/>
          <w:b/>
          <w:bCs/>
          <w:sz w:val="18"/>
          <w:szCs w:val="18"/>
        </w:rPr>
        <w:t xml:space="preserve">               </w:t>
      </w:r>
      <w:r w:rsidRPr="00660B9C">
        <w:rPr>
          <w:rFonts w:ascii="Times New Roman" w:hAnsi="Times New Roman" w:cs="Times New Roman"/>
          <w:b/>
          <w:bCs/>
          <w:sz w:val="18"/>
          <w:szCs w:val="18"/>
        </w:rPr>
        <w:t xml:space="preserve">MADDE </w:t>
      </w:r>
      <w:r w:rsidR="00DA20B7">
        <w:rPr>
          <w:rFonts w:ascii="Times New Roman" w:hAnsi="Times New Roman" w:cs="Times New Roman"/>
          <w:b/>
          <w:bCs/>
          <w:sz w:val="18"/>
          <w:szCs w:val="18"/>
        </w:rPr>
        <w:t>6</w:t>
      </w:r>
      <w:r w:rsidRPr="00660B9C">
        <w:rPr>
          <w:rFonts w:ascii="Times New Roman" w:hAnsi="Times New Roman" w:cs="Times New Roman"/>
          <w:b/>
          <w:bCs/>
          <w:sz w:val="18"/>
          <w:szCs w:val="18"/>
        </w:rPr>
        <w:t>-</w:t>
      </w:r>
      <w:r w:rsidRPr="00660B9C">
        <w:rPr>
          <w:rFonts w:ascii="Times New Roman" w:hAnsi="Times New Roman" w:cs="Times New Roman"/>
          <w:bCs/>
          <w:sz w:val="18"/>
          <w:szCs w:val="18"/>
        </w:rPr>
        <w:t xml:space="preserve"> Bu Tebliğin;</w:t>
      </w:r>
    </w:p>
    <w:p w:rsidR="001611E3" w:rsidRDefault="001611E3" w:rsidP="001611E3">
      <w:pPr>
        <w:keepNext/>
        <w:keepLines/>
        <w:tabs>
          <w:tab w:val="left" w:pos="709"/>
        </w:tabs>
        <w:spacing w:after="0" w:line="240" w:lineRule="auto"/>
        <w:ind w:firstLine="709"/>
        <w:jc w:val="both"/>
        <w:outlineLvl w:val="2"/>
        <w:rPr>
          <w:rFonts w:ascii="Times New Roman" w:hAnsi="Times New Roman" w:cs="Times New Roman"/>
          <w:bCs/>
          <w:sz w:val="18"/>
          <w:szCs w:val="18"/>
        </w:rPr>
      </w:pPr>
      <w:r w:rsidRPr="00512EA7">
        <w:rPr>
          <w:rFonts w:ascii="Times New Roman" w:hAnsi="Times New Roman" w:cs="Times New Roman"/>
          <w:bCs/>
          <w:sz w:val="18"/>
          <w:szCs w:val="18"/>
        </w:rPr>
        <w:t>a)</w:t>
      </w:r>
      <w:r>
        <w:rPr>
          <w:rFonts w:ascii="Times New Roman" w:hAnsi="Times New Roman" w:cs="Times New Roman"/>
          <w:bCs/>
          <w:sz w:val="18"/>
          <w:szCs w:val="18"/>
        </w:rPr>
        <w:t xml:space="preserve"> </w:t>
      </w:r>
      <w:r w:rsidRPr="00512EA7">
        <w:rPr>
          <w:rFonts w:ascii="Times New Roman" w:hAnsi="Times New Roman" w:cs="Times New Roman"/>
          <w:bCs/>
          <w:sz w:val="18"/>
          <w:szCs w:val="18"/>
        </w:rPr>
        <w:t xml:space="preserve">1 </w:t>
      </w:r>
      <w:r w:rsidR="00DA20B7" w:rsidRPr="00633297">
        <w:rPr>
          <w:rFonts w:ascii="Times New Roman" w:eastAsia="Times New Roman" w:hAnsi="Times New Roman" w:cs="Times New Roman"/>
          <w:sz w:val="18"/>
          <w:szCs w:val="18"/>
          <w:lang w:eastAsia="tr-TR"/>
        </w:rPr>
        <w:t xml:space="preserve">ilâ </w:t>
      </w:r>
      <w:proofErr w:type="gramStart"/>
      <w:r w:rsidR="00DA20B7">
        <w:rPr>
          <w:rFonts w:ascii="Times New Roman" w:hAnsi="Times New Roman" w:cs="Times New Roman"/>
          <w:bCs/>
          <w:sz w:val="18"/>
          <w:szCs w:val="18"/>
        </w:rPr>
        <w:t>3</w:t>
      </w:r>
      <w:r>
        <w:rPr>
          <w:rFonts w:ascii="Times New Roman" w:hAnsi="Times New Roman" w:cs="Times New Roman"/>
          <w:bCs/>
          <w:sz w:val="18"/>
          <w:szCs w:val="18"/>
        </w:rPr>
        <w:t xml:space="preserve"> üncü</w:t>
      </w:r>
      <w:proofErr w:type="gramEnd"/>
      <w:r>
        <w:rPr>
          <w:rFonts w:ascii="Times New Roman" w:hAnsi="Times New Roman" w:cs="Times New Roman"/>
          <w:bCs/>
          <w:sz w:val="18"/>
          <w:szCs w:val="18"/>
        </w:rPr>
        <w:t xml:space="preserve"> </w:t>
      </w:r>
      <w:r w:rsidR="00DA20B7">
        <w:rPr>
          <w:rFonts w:ascii="Times New Roman" w:hAnsi="Times New Roman" w:cs="Times New Roman"/>
          <w:bCs/>
          <w:sz w:val="18"/>
          <w:szCs w:val="18"/>
        </w:rPr>
        <w:t>madde</w:t>
      </w:r>
      <w:r w:rsidR="00C87357">
        <w:rPr>
          <w:rFonts w:ascii="Times New Roman" w:hAnsi="Times New Roman" w:cs="Times New Roman"/>
          <w:bCs/>
          <w:sz w:val="18"/>
          <w:szCs w:val="18"/>
        </w:rPr>
        <w:t>leri</w:t>
      </w:r>
      <w:r w:rsidRPr="00512EA7">
        <w:rPr>
          <w:rFonts w:ascii="Times New Roman" w:hAnsi="Times New Roman" w:cs="Times New Roman"/>
          <w:bCs/>
          <w:sz w:val="18"/>
          <w:szCs w:val="18"/>
        </w:rPr>
        <w:t xml:space="preserve"> </w:t>
      </w:r>
      <w:r w:rsidR="002D4373">
        <w:rPr>
          <w:rFonts w:ascii="Times New Roman" w:hAnsi="Times New Roman" w:cs="Times New Roman"/>
          <w:bCs/>
          <w:sz w:val="18"/>
          <w:szCs w:val="18"/>
        </w:rPr>
        <w:t>ile</w:t>
      </w:r>
      <w:r w:rsidR="00DA20B7">
        <w:rPr>
          <w:rFonts w:ascii="Times New Roman" w:hAnsi="Times New Roman" w:cs="Times New Roman"/>
          <w:bCs/>
          <w:sz w:val="18"/>
          <w:szCs w:val="18"/>
        </w:rPr>
        <w:t xml:space="preserve"> 5 inci maddesi </w:t>
      </w:r>
      <w:r w:rsidRPr="00512EA7">
        <w:rPr>
          <w:rFonts w:ascii="Times New Roman" w:hAnsi="Times New Roman" w:cs="Times New Roman"/>
          <w:bCs/>
          <w:sz w:val="18"/>
          <w:szCs w:val="18"/>
        </w:rPr>
        <w:t>yayımı tarihinden 10 iş günü sonra,</w:t>
      </w:r>
    </w:p>
    <w:p w:rsidR="001611E3" w:rsidRDefault="001611E3" w:rsidP="00C87357">
      <w:pPr>
        <w:tabs>
          <w:tab w:val="left" w:pos="709"/>
        </w:tabs>
        <w:spacing w:after="0" w:line="240" w:lineRule="auto"/>
        <w:ind w:firstLine="709"/>
        <w:jc w:val="both"/>
        <w:rPr>
          <w:rFonts w:ascii="Times New Roman" w:hAnsi="Times New Roman" w:cs="Times New Roman"/>
          <w:bCs/>
          <w:sz w:val="18"/>
          <w:szCs w:val="18"/>
        </w:rPr>
      </w:pPr>
      <w:r>
        <w:rPr>
          <w:rFonts w:ascii="Times New Roman" w:hAnsi="Times New Roman" w:cs="Times New Roman"/>
          <w:bCs/>
          <w:sz w:val="18"/>
          <w:szCs w:val="18"/>
        </w:rPr>
        <w:t>b</w:t>
      </w:r>
      <w:r w:rsidRPr="00D72005">
        <w:rPr>
          <w:rFonts w:ascii="Times New Roman" w:hAnsi="Times New Roman" w:cs="Times New Roman"/>
          <w:bCs/>
          <w:sz w:val="18"/>
          <w:szCs w:val="18"/>
        </w:rPr>
        <w:t xml:space="preserve">) </w:t>
      </w:r>
      <w:proofErr w:type="gramStart"/>
      <w:r w:rsidR="00DA20B7">
        <w:rPr>
          <w:rFonts w:ascii="Times New Roman" w:hAnsi="Times New Roman" w:cs="Times New Roman"/>
          <w:bCs/>
          <w:sz w:val="18"/>
          <w:szCs w:val="18"/>
        </w:rPr>
        <w:t>4 üncü</w:t>
      </w:r>
      <w:proofErr w:type="gramEnd"/>
      <w:r>
        <w:rPr>
          <w:rFonts w:ascii="Times New Roman" w:hAnsi="Times New Roman" w:cs="Times New Roman"/>
          <w:bCs/>
          <w:sz w:val="18"/>
          <w:szCs w:val="18"/>
        </w:rPr>
        <w:t xml:space="preserve"> </w:t>
      </w:r>
      <w:r w:rsidRPr="00F5782D">
        <w:rPr>
          <w:rFonts w:ascii="Times New Roman" w:eastAsia="Times New Roman" w:hAnsi="Times New Roman" w:cs="Times New Roman"/>
          <w:sz w:val="18"/>
          <w:szCs w:val="18"/>
          <w:lang w:eastAsia="tr-TR"/>
        </w:rPr>
        <w:t>maddesinin (a) bendinde düzenlenen ekli listede;</w:t>
      </w:r>
      <w:r w:rsidRPr="002F5AD2">
        <w:rPr>
          <w:rFonts w:ascii="Times New Roman" w:hAnsi="Times New Roman" w:cs="Times New Roman"/>
          <w:sz w:val="18"/>
          <w:szCs w:val="18"/>
        </w:rPr>
        <w:t xml:space="preserve"> </w:t>
      </w:r>
      <w:r w:rsidRPr="00D72005">
        <w:rPr>
          <w:rFonts w:ascii="Times New Roman" w:hAnsi="Times New Roman" w:cs="Times New Roman"/>
          <w:bCs/>
          <w:sz w:val="18"/>
          <w:szCs w:val="18"/>
        </w:rPr>
        <w:t xml:space="preserve">listeye giriş tarihi, </w:t>
      </w:r>
      <w:proofErr w:type="spellStart"/>
      <w:r w:rsidRPr="00D72005">
        <w:rPr>
          <w:rFonts w:ascii="Times New Roman" w:hAnsi="Times New Roman" w:cs="Times New Roman"/>
          <w:bCs/>
          <w:sz w:val="18"/>
          <w:szCs w:val="18"/>
        </w:rPr>
        <w:t>aktiflenme</w:t>
      </w:r>
      <w:proofErr w:type="spellEnd"/>
      <w:r w:rsidRPr="00D72005">
        <w:rPr>
          <w:rFonts w:ascii="Times New Roman" w:hAnsi="Times New Roman" w:cs="Times New Roman"/>
          <w:bCs/>
          <w:sz w:val="18"/>
          <w:szCs w:val="18"/>
        </w:rPr>
        <w:t xml:space="preserve"> tarihi veya </w:t>
      </w:r>
      <w:proofErr w:type="spellStart"/>
      <w:r w:rsidRPr="00D72005">
        <w:rPr>
          <w:rFonts w:ascii="Times New Roman" w:hAnsi="Times New Roman" w:cs="Times New Roman"/>
          <w:bCs/>
          <w:sz w:val="18"/>
          <w:szCs w:val="18"/>
        </w:rPr>
        <w:t>pasiflenme</w:t>
      </w:r>
      <w:proofErr w:type="spellEnd"/>
      <w:r w:rsidRPr="00D72005">
        <w:rPr>
          <w:rFonts w:ascii="Times New Roman" w:hAnsi="Times New Roman" w:cs="Times New Roman"/>
          <w:bCs/>
          <w:sz w:val="18"/>
          <w:szCs w:val="18"/>
        </w:rPr>
        <w:t xml:space="preserve"> tarihi bulunan ilaçlar belirtilen tarihlerde, listeye giriş tarihi, </w:t>
      </w:r>
      <w:proofErr w:type="spellStart"/>
      <w:r w:rsidRPr="00D72005">
        <w:rPr>
          <w:rFonts w:ascii="Times New Roman" w:hAnsi="Times New Roman" w:cs="Times New Roman"/>
          <w:bCs/>
          <w:sz w:val="18"/>
          <w:szCs w:val="18"/>
        </w:rPr>
        <w:t>aktiflenme</w:t>
      </w:r>
      <w:proofErr w:type="spellEnd"/>
      <w:r w:rsidRPr="00D72005">
        <w:rPr>
          <w:rFonts w:ascii="Times New Roman" w:hAnsi="Times New Roman" w:cs="Times New Roman"/>
          <w:bCs/>
          <w:sz w:val="18"/>
          <w:szCs w:val="18"/>
        </w:rPr>
        <w:t xml:space="preserve"> tarihi veya </w:t>
      </w:r>
      <w:proofErr w:type="spellStart"/>
      <w:r w:rsidRPr="00D72005">
        <w:rPr>
          <w:rFonts w:ascii="Times New Roman" w:hAnsi="Times New Roman" w:cs="Times New Roman"/>
          <w:bCs/>
          <w:sz w:val="18"/>
          <w:szCs w:val="18"/>
        </w:rPr>
        <w:t>pasiflenme</w:t>
      </w:r>
      <w:proofErr w:type="spellEnd"/>
      <w:r w:rsidRPr="00D72005">
        <w:rPr>
          <w:rFonts w:ascii="Times New Roman" w:hAnsi="Times New Roman" w:cs="Times New Roman"/>
          <w:bCs/>
          <w:sz w:val="18"/>
          <w:szCs w:val="18"/>
        </w:rPr>
        <w:t xml:space="preserve"> tarihi bulunmayan ilaçlar yayımları tarihlerinde, listeye giriş tarihinde (*) işareti bulunan ilaçlar ile ilaç adında (**) işareti bulunan ilaçlar yayımı tarihinden 10 iş günü sonra,</w:t>
      </w:r>
    </w:p>
    <w:p w:rsidR="001611E3" w:rsidRPr="00F531D5" w:rsidRDefault="001611E3" w:rsidP="00C87357">
      <w:pPr>
        <w:tabs>
          <w:tab w:val="left" w:pos="709"/>
        </w:tabs>
        <w:spacing w:after="0" w:line="240" w:lineRule="auto"/>
        <w:ind w:firstLine="709"/>
        <w:jc w:val="both"/>
        <w:rPr>
          <w:rFonts w:ascii="Times New Roman" w:eastAsia="Times New Roman" w:hAnsi="Times New Roman" w:cs="Times New Roman"/>
          <w:sz w:val="18"/>
          <w:szCs w:val="18"/>
          <w:lang w:eastAsia="tr-TR"/>
        </w:rPr>
      </w:pPr>
      <w:r w:rsidRPr="002D4373">
        <w:rPr>
          <w:rFonts w:ascii="Times New Roman" w:hAnsi="Times New Roman" w:cs="Times New Roman"/>
          <w:bCs/>
          <w:sz w:val="18"/>
          <w:szCs w:val="18"/>
        </w:rPr>
        <w:t xml:space="preserve">c) </w:t>
      </w:r>
      <w:proofErr w:type="gramStart"/>
      <w:r w:rsidR="00DA20B7" w:rsidRPr="002D4373">
        <w:rPr>
          <w:rFonts w:ascii="Times New Roman" w:hAnsi="Times New Roman" w:cs="Times New Roman"/>
          <w:bCs/>
          <w:sz w:val="18"/>
          <w:szCs w:val="18"/>
        </w:rPr>
        <w:t>4 üncü</w:t>
      </w:r>
      <w:proofErr w:type="gramEnd"/>
      <w:r w:rsidRPr="002D4373">
        <w:rPr>
          <w:rFonts w:ascii="Times New Roman" w:hAnsi="Times New Roman" w:cs="Times New Roman"/>
          <w:bCs/>
          <w:sz w:val="18"/>
          <w:szCs w:val="18"/>
        </w:rPr>
        <w:t xml:space="preserve"> </w:t>
      </w:r>
      <w:r w:rsidRPr="002D4373">
        <w:rPr>
          <w:rFonts w:ascii="Times New Roman" w:eastAsia="Times New Roman" w:hAnsi="Times New Roman" w:cs="Times New Roman"/>
          <w:sz w:val="18"/>
          <w:szCs w:val="18"/>
          <w:lang w:eastAsia="tr-TR"/>
        </w:rPr>
        <w:t>maddesinin (b) bendinde düzenlenen ekli listede;</w:t>
      </w:r>
      <w:r w:rsidR="00F531D5" w:rsidRPr="00F531D5">
        <w:t xml:space="preserve"> </w:t>
      </w:r>
      <w:r w:rsidR="00F531D5" w:rsidRPr="00F531D5">
        <w:rPr>
          <w:rFonts w:ascii="Times New Roman" w:eastAsia="Times New Roman" w:hAnsi="Times New Roman" w:cs="Times New Roman"/>
          <w:sz w:val="18"/>
          <w:szCs w:val="18"/>
          <w:lang w:eastAsia="tr-TR"/>
        </w:rPr>
        <w:t>listeye giriş tarihi, listeden çıkış tarihi, fiyat değişiklik tarihi, ilaç ismi/etkin madde ismi/barkod değişiklik tarihi bulunmayan ilaçlar yayımları tarihlerinde</w:t>
      </w:r>
      <w:r w:rsidR="00F531D5">
        <w:rPr>
          <w:rFonts w:ascii="Times New Roman" w:eastAsia="Times New Roman" w:hAnsi="Times New Roman" w:cs="Times New Roman"/>
          <w:sz w:val="18"/>
          <w:szCs w:val="18"/>
          <w:lang w:eastAsia="tr-TR"/>
        </w:rPr>
        <w:t>,</w:t>
      </w:r>
      <w:r w:rsidR="00DA20B7" w:rsidRPr="00DA20B7">
        <w:t xml:space="preserve"> </w:t>
      </w:r>
      <w:r w:rsidR="002D4373">
        <w:rPr>
          <w:rFonts w:ascii="Times New Roman" w:eastAsia="Times New Roman" w:hAnsi="Times New Roman" w:cs="Times New Roman"/>
          <w:sz w:val="18"/>
          <w:szCs w:val="18"/>
          <w:lang w:eastAsia="tr-TR"/>
        </w:rPr>
        <w:t>l</w:t>
      </w:r>
      <w:r w:rsidR="00DA20B7" w:rsidRPr="00DA20B7">
        <w:rPr>
          <w:rFonts w:ascii="Times New Roman" w:eastAsia="Times New Roman" w:hAnsi="Times New Roman" w:cs="Times New Roman"/>
          <w:sz w:val="18"/>
          <w:szCs w:val="18"/>
          <w:lang w:eastAsia="tr-TR"/>
        </w:rPr>
        <w:t>isteye giriş tarihi ve listeden çıkış tarihinde (*) işareti bulunan ilaçlar yayı</w:t>
      </w:r>
      <w:r w:rsidR="003029EB">
        <w:rPr>
          <w:rFonts w:ascii="Times New Roman" w:eastAsia="Times New Roman" w:hAnsi="Times New Roman" w:cs="Times New Roman"/>
          <w:sz w:val="18"/>
          <w:szCs w:val="18"/>
          <w:lang w:eastAsia="tr-TR"/>
        </w:rPr>
        <w:t>mı tarihinden</w:t>
      </w:r>
      <w:r w:rsidR="00DA20B7" w:rsidRPr="00DA20B7">
        <w:rPr>
          <w:rFonts w:ascii="Times New Roman" w:eastAsia="Times New Roman" w:hAnsi="Times New Roman" w:cs="Times New Roman"/>
          <w:sz w:val="18"/>
          <w:szCs w:val="18"/>
          <w:lang w:eastAsia="tr-TR"/>
        </w:rPr>
        <w:t xml:space="preserve"> 10 (on) iş günü sonra</w:t>
      </w:r>
      <w:r w:rsidR="00F531D5">
        <w:rPr>
          <w:rFonts w:ascii="Times New Roman" w:eastAsia="Times New Roman" w:hAnsi="Times New Roman" w:cs="Times New Roman"/>
          <w:sz w:val="18"/>
          <w:szCs w:val="18"/>
          <w:lang w:eastAsia="tr-TR"/>
        </w:rPr>
        <w:t>,</w:t>
      </w:r>
      <w:r w:rsidR="00DA20B7" w:rsidRPr="00DA20B7">
        <w:rPr>
          <w:rFonts w:ascii="Times New Roman" w:eastAsia="Times New Roman" w:hAnsi="Times New Roman" w:cs="Times New Roman"/>
          <w:sz w:val="18"/>
          <w:szCs w:val="18"/>
          <w:lang w:eastAsia="tr-TR"/>
        </w:rPr>
        <w:t xml:space="preserve">                                                         </w:t>
      </w:r>
    </w:p>
    <w:p w:rsidR="001611E3" w:rsidRDefault="001611E3" w:rsidP="00C87357">
      <w:pPr>
        <w:tabs>
          <w:tab w:val="left" w:pos="709"/>
        </w:tabs>
        <w:spacing w:after="0" w:line="240" w:lineRule="auto"/>
        <w:ind w:right="51" w:firstLine="709"/>
        <w:jc w:val="both"/>
        <w:rPr>
          <w:rFonts w:ascii="Times New Roman" w:eastAsia="Times New Roman" w:hAnsi="Times New Roman" w:cs="Times New Roman"/>
          <w:bCs/>
          <w:sz w:val="18"/>
          <w:szCs w:val="18"/>
          <w:lang w:eastAsia="tr-TR"/>
        </w:rPr>
      </w:pPr>
      <w:proofErr w:type="gramStart"/>
      <w:r>
        <w:rPr>
          <w:rFonts w:ascii="Times New Roman" w:eastAsia="Times New Roman" w:hAnsi="Times New Roman" w:cs="Times New Roman"/>
          <w:bCs/>
          <w:sz w:val="18"/>
          <w:szCs w:val="18"/>
          <w:lang w:eastAsia="tr-TR"/>
        </w:rPr>
        <w:t>ç</w:t>
      </w:r>
      <w:proofErr w:type="gramEnd"/>
      <w:r w:rsidRPr="00C0297B">
        <w:rPr>
          <w:rFonts w:ascii="Times New Roman" w:eastAsia="Times New Roman" w:hAnsi="Times New Roman" w:cs="Times New Roman"/>
          <w:bCs/>
          <w:sz w:val="18"/>
          <w:szCs w:val="18"/>
          <w:lang w:eastAsia="tr-TR"/>
        </w:rPr>
        <w:t xml:space="preserve">) </w:t>
      </w:r>
      <w:r w:rsidRPr="00E42F69">
        <w:rPr>
          <w:rFonts w:ascii="Times New Roman" w:eastAsia="Times New Roman" w:hAnsi="Times New Roman" w:cs="Times New Roman"/>
          <w:bCs/>
          <w:sz w:val="18"/>
          <w:szCs w:val="18"/>
          <w:lang w:eastAsia="tr-TR"/>
        </w:rPr>
        <w:t>Diğer hükümleri yayımı tarihinde,</w:t>
      </w:r>
    </w:p>
    <w:p w:rsidR="001611E3" w:rsidRDefault="001611E3" w:rsidP="00C87357">
      <w:pPr>
        <w:tabs>
          <w:tab w:val="left" w:pos="709"/>
        </w:tabs>
        <w:spacing w:after="0" w:line="240" w:lineRule="auto"/>
        <w:ind w:right="51" w:firstLine="709"/>
        <w:jc w:val="both"/>
        <w:rPr>
          <w:rFonts w:ascii="Times New Roman" w:eastAsia="Times New Roman" w:hAnsi="Times New Roman" w:cs="Times New Roman"/>
          <w:sz w:val="18"/>
          <w:szCs w:val="18"/>
          <w:lang w:eastAsia="tr-TR"/>
        </w:rPr>
      </w:pPr>
      <w:proofErr w:type="gramStart"/>
      <w:r w:rsidRPr="00E42F69">
        <w:rPr>
          <w:rFonts w:ascii="Times New Roman" w:eastAsia="Times New Roman" w:hAnsi="Times New Roman" w:cs="Times New Roman"/>
          <w:bCs/>
          <w:sz w:val="18"/>
          <w:szCs w:val="18"/>
          <w:lang w:eastAsia="tr-TR"/>
        </w:rPr>
        <w:t>yürürlüğe</w:t>
      </w:r>
      <w:proofErr w:type="gramEnd"/>
      <w:r w:rsidRPr="00E42F69">
        <w:rPr>
          <w:rFonts w:ascii="Times New Roman" w:eastAsia="Times New Roman" w:hAnsi="Times New Roman" w:cs="Times New Roman"/>
          <w:bCs/>
          <w:sz w:val="18"/>
          <w:szCs w:val="18"/>
          <w:lang w:eastAsia="tr-TR"/>
        </w:rPr>
        <w:t xml:space="preserve"> girer. </w:t>
      </w:r>
      <w:r w:rsidRPr="00C0297B">
        <w:rPr>
          <w:rFonts w:ascii="Times New Roman" w:eastAsia="Times New Roman" w:hAnsi="Times New Roman" w:cs="Times New Roman"/>
          <w:bCs/>
          <w:sz w:val="18"/>
          <w:szCs w:val="18"/>
          <w:lang w:eastAsia="tr-TR"/>
        </w:rPr>
        <w:t xml:space="preserve">          </w:t>
      </w:r>
    </w:p>
    <w:p w:rsidR="00C87357" w:rsidRDefault="001611E3" w:rsidP="00F531D5">
      <w:pPr>
        <w:tabs>
          <w:tab w:val="left" w:pos="709"/>
        </w:tabs>
        <w:spacing w:after="0" w:line="240" w:lineRule="auto"/>
        <w:ind w:right="-142"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 xml:space="preserve">MADDE </w:t>
      </w:r>
      <w:r w:rsidR="00DA20B7">
        <w:rPr>
          <w:rFonts w:ascii="Times New Roman" w:eastAsia="Times New Roman" w:hAnsi="Times New Roman" w:cs="Times New Roman"/>
          <w:b/>
          <w:bCs/>
          <w:sz w:val="18"/>
          <w:szCs w:val="18"/>
          <w:lang w:eastAsia="tr-TR"/>
        </w:rPr>
        <w:t>7</w:t>
      </w:r>
      <w:r>
        <w:rPr>
          <w:rFonts w:ascii="Times New Roman" w:eastAsia="Times New Roman" w:hAnsi="Times New Roman" w:cs="Times New Roman"/>
          <w:b/>
          <w:bCs/>
          <w:sz w:val="18"/>
          <w:szCs w:val="18"/>
          <w:lang w:eastAsia="tr-TR"/>
        </w:rPr>
        <w:t xml:space="preserve">- </w:t>
      </w:r>
      <w:r>
        <w:rPr>
          <w:rFonts w:ascii="Times New Roman" w:eastAsia="Times New Roman" w:hAnsi="Times New Roman" w:cs="Times New Roman"/>
          <w:bCs/>
          <w:sz w:val="18"/>
          <w:szCs w:val="18"/>
          <w:lang w:eastAsia="tr-TR"/>
        </w:rPr>
        <w:t>Bu Tebliğ hükümlerini Sosyal Güvenlik Kurumu Başkanı yürütür.</w:t>
      </w:r>
    </w:p>
    <w:sectPr w:rsidR="00C8735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018" w:rsidRDefault="00FC4018" w:rsidP="00C87357">
      <w:pPr>
        <w:spacing w:after="0" w:line="240" w:lineRule="auto"/>
      </w:pPr>
      <w:r>
        <w:separator/>
      </w:r>
    </w:p>
  </w:endnote>
  <w:endnote w:type="continuationSeparator" w:id="0">
    <w:p w:rsidR="00FC4018" w:rsidRDefault="00FC4018" w:rsidP="00C87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Arial"/>
    <w:panose1 w:val="00000000000000000000"/>
    <w:charset w:val="A2"/>
    <w:family w:val="auto"/>
    <w:notTrueType/>
    <w:pitch w:val="default"/>
    <w:sig w:usb0="00000005" w:usb1="00000000" w:usb2="00000000" w:usb3="00000000" w:csb0="00000010" w:csb1="00000000"/>
  </w:font>
  <w:font w:name="PalatinoLinotype-Bold">
    <w:altName w:val="Palatino Linotype"/>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492311333"/>
      <w:docPartObj>
        <w:docPartGallery w:val="Page Numbers (Bottom of Page)"/>
        <w:docPartUnique/>
      </w:docPartObj>
    </w:sdtPr>
    <w:sdtEndPr>
      <w:rPr>
        <w:sz w:val="18"/>
        <w:szCs w:val="18"/>
      </w:rPr>
    </w:sdtEndPr>
    <w:sdtContent>
      <w:p w:rsidR="00C87357" w:rsidRPr="00C87357" w:rsidRDefault="00C87357">
        <w:pPr>
          <w:pStyle w:val="AltBilgi"/>
          <w:jc w:val="center"/>
          <w:rPr>
            <w:rFonts w:ascii="Times New Roman" w:hAnsi="Times New Roman" w:cs="Times New Roman"/>
            <w:sz w:val="18"/>
            <w:szCs w:val="18"/>
          </w:rPr>
        </w:pPr>
        <w:r w:rsidRPr="00C87357">
          <w:rPr>
            <w:rFonts w:ascii="Times New Roman" w:hAnsi="Times New Roman" w:cs="Times New Roman"/>
            <w:sz w:val="18"/>
            <w:szCs w:val="18"/>
          </w:rPr>
          <w:fldChar w:fldCharType="begin"/>
        </w:r>
        <w:r w:rsidRPr="00C87357">
          <w:rPr>
            <w:rFonts w:ascii="Times New Roman" w:hAnsi="Times New Roman" w:cs="Times New Roman"/>
            <w:sz w:val="18"/>
            <w:szCs w:val="18"/>
          </w:rPr>
          <w:instrText>PAGE   \* MERGEFORMAT</w:instrText>
        </w:r>
        <w:r w:rsidRPr="00C87357">
          <w:rPr>
            <w:rFonts w:ascii="Times New Roman" w:hAnsi="Times New Roman" w:cs="Times New Roman"/>
            <w:sz w:val="18"/>
            <w:szCs w:val="18"/>
          </w:rPr>
          <w:fldChar w:fldCharType="separate"/>
        </w:r>
        <w:r w:rsidRPr="00C87357">
          <w:rPr>
            <w:rFonts w:ascii="Times New Roman" w:hAnsi="Times New Roman" w:cs="Times New Roman"/>
            <w:sz w:val="18"/>
            <w:szCs w:val="18"/>
          </w:rPr>
          <w:t>2</w:t>
        </w:r>
        <w:r w:rsidRPr="00C87357">
          <w:rPr>
            <w:rFonts w:ascii="Times New Roman" w:hAnsi="Times New Roman" w:cs="Times New Roman"/>
            <w:sz w:val="18"/>
            <w:szCs w:val="18"/>
          </w:rPr>
          <w:fldChar w:fldCharType="end"/>
        </w:r>
      </w:p>
    </w:sdtContent>
  </w:sdt>
  <w:p w:rsidR="00C87357" w:rsidRDefault="00C8735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018" w:rsidRDefault="00FC4018" w:rsidP="00C87357">
      <w:pPr>
        <w:spacing w:after="0" w:line="240" w:lineRule="auto"/>
      </w:pPr>
      <w:r>
        <w:separator/>
      </w:r>
    </w:p>
  </w:footnote>
  <w:footnote w:type="continuationSeparator" w:id="0">
    <w:p w:rsidR="00FC4018" w:rsidRDefault="00FC4018" w:rsidP="00C87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7030A"/>
    <w:multiLevelType w:val="hybridMultilevel"/>
    <w:tmpl w:val="25849A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0C0C65"/>
    <w:multiLevelType w:val="hybridMultilevel"/>
    <w:tmpl w:val="F1224F7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EB23AB1"/>
    <w:multiLevelType w:val="hybridMultilevel"/>
    <w:tmpl w:val="526208E6"/>
    <w:lvl w:ilvl="0" w:tplc="5406049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E3"/>
    <w:rsid w:val="00043122"/>
    <w:rsid w:val="0007035C"/>
    <w:rsid w:val="00116873"/>
    <w:rsid w:val="001611E3"/>
    <w:rsid w:val="002550A9"/>
    <w:rsid w:val="00275364"/>
    <w:rsid w:val="00296E6E"/>
    <w:rsid w:val="002D4373"/>
    <w:rsid w:val="003029EB"/>
    <w:rsid w:val="003F669C"/>
    <w:rsid w:val="0086171F"/>
    <w:rsid w:val="00BC79BF"/>
    <w:rsid w:val="00C0255D"/>
    <w:rsid w:val="00C255F5"/>
    <w:rsid w:val="00C87357"/>
    <w:rsid w:val="00CA6BAE"/>
    <w:rsid w:val="00DA20B7"/>
    <w:rsid w:val="00DB7BE1"/>
    <w:rsid w:val="00DE2002"/>
    <w:rsid w:val="00F531D5"/>
    <w:rsid w:val="00F972FE"/>
    <w:rsid w:val="00FC4018"/>
    <w:rsid w:val="00FE76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40EE"/>
  <w15:chartTrackingRefBased/>
  <w15:docId w15:val="{BD69C78A-C12F-4A05-9E88-5D41D714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11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20B7"/>
    <w:pPr>
      <w:ind w:left="720"/>
      <w:contextualSpacing/>
    </w:pPr>
  </w:style>
  <w:style w:type="paragraph" w:styleId="stBilgi">
    <w:name w:val="header"/>
    <w:basedOn w:val="Normal"/>
    <w:link w:val="stBilgiChar"/>
    <w:uiPriority w:val="99"/>
    <w:unhideWhenUsed/>
    <w:rsid w:val="00C873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7357"/>
  </w:style>
  <w:style w:type="paragraph" w:styleId="AltBilgi">
    <w:name w:val="footer"/>
    <w:basedOn w:val="Normal"/>
    <w:link w:val="AltBilgiChar"/>
    <w:uiPriority w:val="99"/>
    <w:unhideWhenUsed/>
    <w:rsid w:val="00C873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4346</Words>
  <Characters>24774</Characters>
  <Application>Microsoft Office Word</Application>
  <DocSecurity>0</DocSecurity>
  <Lines>206</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ACALYA SAGIROGLU</dc:creator>
  <cp:keywords/>
  <dc:description/>
  <cp:lastModifiedBy>NALAN BILGE CANDAR</cp:lastModifiedBy>
  <cp:revision>16</cp:revision>
  <dcterms:created xsi:type="dcterms:W3CDTF">2025-07-07T09:36:00Z</dcterms:created>
  <dcterms:modified xsi:type="dcterms:W3CDTF">2025-07-10T05:40:00Z</dcterms:modified>
</cp:coreProperties>
</file>